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 xml:space="preserve"> Приложение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к постановлению администрации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</w:t>
      </w:r>
    </w:p>
    <w:p w:rsidR="0010196A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 xml:space="preserve">   от «</w:t>
      </w:r>
      <w:r>
        <w:rPr>
          <w:color w:val="000000"/>
        </w:rPr>
        <w:t>24</w:t>
      </w:r>
      <w:r w:rsidRPr="00380F18">
        <w:rPr>
          <w:color w:val="000000"/>
        </w:rPr>
        <w:t>»</w:t>
      </w:r>
      <w:r>
        <w:rPr>
          <w:color w:val="000000"/>
        </w:rPr>
        <w:t xml:space="preserve">декабря </w:t>
      </w:r>
      <w:r w:rsidRPr="00380F18">
        <w:rPr>
          <w:color w:val="000000"/>
        </w:rPr>
        <w:t>2020г. № _</w:t>
      </w:r>
      <w:r>
        <w:rPr>
          <w:color w:val="000000"/>
        </w:rPr>
        <w:t>30</w:t>
      </w:r>
    </w:p>
    <w:p w:rsidR="0010196A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Порядок формирования перечня налоговых расходов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color w:val="000000" w:themeColor="text1"/>
        </w:rPr>
        <w:t>Светлодольского</w:t>
      </w:r>
      <w:r w:rsidRPr="00380F18">
        <w:rPr>
          <w:b/>
          <w:bCs/>
          <w:color w:val="000000"/>
        </w:rPr>
        <w:t xml:space="preserve"> сельсовета и оценки налоговых расходов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color w:val="000000" w:themeColor="text1"/>
        </w:rPr>
        <w:t>Светлодольского</w:t>
      </w:r>
      <w:r w:rsidRPr="00380F18">
        <w:rPr>
          <w:b/>
          <w:bCs/>
          <w:color w:val="000000"/>
        </w:rPr>
        <w:t xml:space="preserve"> сельсовета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Общие положения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1. Настоящий Порядок устанавливает процедуру формирования перечня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и оценки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2. В целях настоящего Порядка применяются следующие понятия и термины: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налоговые расходы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- выпадающие доходы бюджета сельского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куратор налогового расхода - орган местного самоуправления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ответственный в соответствии с полномочиями, установленными нормативными правовыми актами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не относящихся к муниципальным программам;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перечень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- документ, содержащий сведения о распределении налоговых расходов в соответствии с целями муниципальных программ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и (или) целями социально-экономической политики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не относящимися к муниципальным программам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а также о кураторах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сельсовета;</w:t>
      </w:r>
    </w:p>
    <w:p w:rsidR="0010196A" w:rsidRPr="00380F18" w:rsidRDefault="0010196A" w:rsidP="0010196A">
      <w:pPr>
        <w:ind w:firstLine="709"/>
        <w:jc w:val="both"/>
        <w:rPr>
          <w:color w:val="000000" w:themeColor="text1"/>
        </w:rPr>
      </w:pPr>
      <w:r w:rsidRPr="00380F18">
        <w:rPr>
          <w:color w:val="000000" w:themeColor="text1"/>
        </w:rPr>
        <w:t xml:space="preserve">иные термины и определения, используемые в настоящем Порядке, применяются в значениях, определенных </w:t>
      </w:r>
      <w:hyperlink r:id="rId4" w:tgtFrame="_blank" w:history="1">
        <w:r w:rsidRPr="00380F18">
          <w:rPr>
            <w:color w:val="000000" w:themeColor="text1"/>
          </w:rPr>
          <w:t>Бюджетным кодексом</w:t>
        </w:r>
      </w:hyperlink>
      <w:r w:rsidRPr="00380F18">
        <w:rPr>
          <w:color w:val="000000" w:themeColor="text1"/>
        </w:rPr>
        <w:t xml:space="preserve">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0196A" w:rsidRPr="00380F18" w:rsidRDefault="0010196A" w:rsidP="0010196A">
      <w:pPr>
        <w:ind w:firstLine="709"/>
        <w:jc w:val="both"/>
        <w:rPr>
          <w:color w:val="000000" w:themeColor="text1"/>
        </w:rPr>
      </w:pPr>
    </w:p>
    <w:p w:rsidR="0010196A" w:rsidRPr="00380F18" w:rsidRDefault="0010196A" w:rsidP="0010196A">
      <w:pPr>
        <w:ind w:left="142"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Порядок формирования перечня налоговых расходов</w:t>
      </w:r>
    </w:p>
    <w:p w:rsidR="0010196A" w:rsidRPr="00380F18" w:rsidRDefault="0010196A" w:rsidP="0010196A">
      <w:pPr>
        <w:ind w:left="142" w:firstLine="567"/>
        <w:jc w:val="center"/>
        <w:rPr>
          <w:b/>
          <w:bCs/>
          <w:color w:val="000000"/>
        </w:rPr>
      </w:pPr>
      <w:r w:rsidRPr="00380F18">
        <w:rPr>
          <w:b/>
          <w:color w:val="000000" w:themeColor="text1"/>
        </w:rPr>
        <w:t>Светлодольского</w:t>
      </w:r>
      <w:r w:rsidRPr="00380F18">
        <w:rPr>
          <w:b/>
          <w:bCs/>
          <w:color w:val="000000"/>
        </w:rPr>
        <w:t xml:space="preserve"> сельсовета</w:t>
      </w:r>
    </w:p>
    <w:p w:rsidR="0010196A" w:rsidRPr="00380F18" w:rsidRDefault="0010196A" w:rsidP="0010196A">
      <w:pPr>
        <w:ind w:left="142" w:firstLine="567"/>
        <w:jc w:val="center"/>
        <w:rPr>
          <w:color w:val="000000"/>
        </w:rPr>
      </w:pP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3. Администрация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(далее - Администрация) ежегодно в срок до 15 мая текущего года формирует проект перечня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на очередной финансовый год и плановый период по форме в соответствии с приложением № 1 к настоящему Порядку.</w:t>
      </w:r>
    </w:p>
    <w:p w:rsidR="0010196A" w:rsidRPr="00380F18" w:rsidRDefault="0010196A" w:rsidP="0010196A">
      <w:pPr>
        <w:ind w:firstLine="567"/>
        <w:jc w:val="both"/>
        <w:rPr>
          <w:color w:val="000000"/>
        </w:rPr>
      </w:pPr>
      <w:r w:rsidRPr="00380F18">
        <w:rPr>
          <w:color w:val="000000"/>
        </w:rPr>
        <w:lastRenderedPageBreak/>
        <w:t xml:space="preserve">4. В случае внесения в текущем финансовом году изменений в перечень муниципальных программ </w:t>
      </w:r>
      <w:r>
        <w:rPr>
          <w:color w:val="000000"/>
        </w:rPr>
        <w:t>Светлодольского</w:t>
      </w:r>
      <w:r w:rsidRPr="00380F18">
        <w:rPr>
          <w:color w:val="000000"/>
        </w:rPr>
        <w:t xml:space="preserve"> сельсовета, структурные элементы муниципальных программ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и (или) в случае изменения полномочий органа местного самоуправления, указанного в пункте 3 настоящего Порядка, в связи с которыми возникает необходимость внесения изменений в перечень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Администрация, не позднее десяти рабочих дней со дня внесения соответствующих изменений формирует уточненный перечень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5. После завершения процедур, указанных в пунктах 3, 4 настоящего Порядка, ежегодно до 10 июня перечень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считается сформированным и подлежит размещению в информационно-телекоммуникационной сети «Интернет» на сайте Администрации Белозерского района (по согласованию).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</w:p>
    <w:p w:rsidR="0010196A" w:rsidRPr="00380F18" w:rsidRDefault="0010196A" w:rsidP="0010196A">
      <w:pPr>
        <w:ind w:left="142"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Порядок оценки налоговых расходов</w:t>
      </w:r>
    </w:p>
    <w:p w:rsidR="0010196A" w:rsidRPr="00380F18" w:rsidRDefault="0010196A" w:rsidP="0010196A">
      <w:pPr>
        <w:ind w:firstLine="567"/>
        <w:jc w:val="center"/>
        <w:rPr>
          <w:b/>
          <w:bCs/>
          <w:color w:val="000000"/>
        </w:rPr>
      </w:pPr>
      <w:r w:rsidRPr="007C1268">
        <w:rPr>
          <w:b/>
          <w:color w:val="000000" w:themeColor="text1"/>
        </w:rPr>
        <w:t>Светлодольского</w:t>
      </w:r>
      <w:r w:rsidRPr="00380F18">
        <w:rPr>
          <w:b/>
          <w:bCs/>
          <w:color w:val="000000"/>
        </w:rPr>
        <w:t xml:space="preserve"> сельсовета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6. Оценка эффективности налоговых расходов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7. В целях проведения оценки эффективности налоговых расходов Администрация до 1 февраля текущего финансового года направляет в территориальный налоговый орган сведения о категориях плательщиков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8. В целях проведения оценки налоговых расходов Администрация ежегодно до 15 июня текущего финансового года формирует информацию о фактическом объеме налоговых расходов за год, предшествующий отчетному, а также информацию о значениях фискальных характеристик налоговых расходов на основании информации территориального налогового органа.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Правила формирования информации о нормативных, целевых</w:t>
      </w:r>
    </w:p>
    <w:p w:rsidR="0010196A" w:rsidRPr="00380F18" w:rsidRDefault="0010196A" w:rsidP="0010196A">
      <w:pPr>
        <w:ind w:firstLine="567"/>
        <w:jc w:val="center"/>
        <w:rPr>
          <w:b/>
          <w:bCs/>
          <w:color w:val="000000"/>
        </w:rPr>
      </w:pPr>
      <w:r w:rsidRPr="00380F18">
        <w:rPr>
          <w:b/>
          <w:bCs/>
          <w:color w:val="000000"/>
        </w:rPr>
        <w:t>и фискальных характеристиках налоговых расходов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9. 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- объем налоговых расходов на отчетный финансовый год определяется кураторами налоговых расходов в тысячах рублей на уровне факта объема налоговых расходов за год, предшествующий отчетному финансовому году.</w:t>
      </w:r>
    </w:p>
    <w:p w:rsidR="0010196A" w:rsidRPr="00380F18" w:rsidRDefault="0010196A" w:rsidP="0010196A">
      <w:pPr>
        <w:ind w:firstLine="709"/>
        <w:jc w:val="both"/>
        <w:rPr>
          <w:color w:val="000000" w:themeColor="text1"/>
        </w:rPr>
      </w:pPr>
      <w:r w:rsidRPr="00380F18">
        <w:rPr>
          <w:color w:val="000000"/>
        </w:rPr>
        <w:t xml:space="preserve">- </w:t>
      </w:r>
      <w:r w:rsidRPr="00380F18">
        <w:rPr>
          <w:color w:val="000000" w:themeColor="text1"/>
        </w:rPr>
        <w:t>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Департамента экономического развития Курганской области.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 w:themeColor="text1"/>
        </w:rPr>
        <w:t xml:space="preserve">10. На основании сведений, указанных в пункте 11 настоящего Порядка, куратор налогового расхода по каждому налоговому </w:t>
      </w:r>
      <w:r w:rsidRPr="00380F18">
        <w:rPr>
          <w:color w:val="000000"/>
        </w:rPr>
        <w:t>расходу осуществляет оценку эффективности налоговых расходов, включающую следующую информацию: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- соответствие целям муниципальной программы и (или) целям социально-экономической политики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lastRenderedPageBreak/>
        <w:t xml:space="preserve">- достижение показателей целей муниципальной программы и (или) целей социально-экономической политики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- уровень востребованности плательщиками предоставленных льгот;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- результат оценки бюджетной эффективности;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- выводы о целесообразности продления или отмены налоговых льгот.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11. Информация о нормативных, целевых и фискальных характеристиках налоговых расходов формируется Администрацией в срок до 15 июля текущего года.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Порядок обобщения результатов оценки эффективности</w:t>
      </w:r>
    </w:p>
    <w:p w:rsidR="0010196A" w:rsidRPr="00380F18" w:rsidRDefault="0010196A" w:rsidP="0010196A">
      <w:pPr>
        <w:ind w:firstLine="567"/>
        <w:jc w:val="center"/>
        <w:rPr>
          <w:b/>
          <w:bCs/>
          <w:color w:val="000000"/>
        </w:rPr>
      </w:pPr>
      <w:r w:rsidRPr="00380F18">
        <w:rPr>
          <w:b/>
          <w:bCs/>
          <w:color w:val="000000"/>
        </w:rPr>
        <w:t>налоговых расходов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12. Администрация в срок до 10 августа текущего года направляет в финансовый орган Администрации Белозерского района сформированную информацию о нормативных, целевых и фискальных характеристиках налоговых расходов в соответствии с Приложением 2 к настоящему Порядку.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 xml:space="preserve">13.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сельсовета, а также при проведении оценки эффективности реализации муниципальных программ </w:t>
      </w: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и размещаются Администрацией в срок до 1 сентября текущего года на официальном сайте Администрации Белозерского района (по согласованию).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 </w:t>
      </w:r>
    </w:p>
    <w:p w:rsidR="0010196A" w:rsidRPr="00380F18" w:rsidRDefault="0010196A" w:rsidP="0010196A">
      <w:pPr>
        <w:ind w:firstLine="567"/>
        <w:jc w:val="both"/>
        <w:rPr>
          <w:color w:val="000000"/>
          <w:sz w:val="26"/>
          <w:szCs w:val="26"/>
        </w:rPr>
      </w:pPr>
      <w:r w:rsidRPr="00380F18">
        <w:rPr>
          <w:color w:val="000000"/>
          <w:sz w:val="26"/>
          <w:szCs w:val="26"/>
        </w:rPr>
        <w:t> </w:t>
      </w:r>
    </w:p>
    <w:p w:rsidR="0010196A" w:rsidRPr="00380F18" w:rsidRDefault="0010196A" w:rsidP="0010196A">
      <w:pPr>
        <w:ind w:right="360" w:firstLine="567"/>
        <w:jc w:val="both"/>
        <w:rPr>
          <w:color w:val="000000"/>
          <w:sz w:val="26"/>
          <w:szCs w:val="26"/>
        </w:rPr>
      </w:pPr>
      <w:r w:rsidRPr="00380F18">
        <w:rPr>
          <w:b/>
          <w:bCs/>
          <w:color w:val="000000"/>
          <w:sz w:val="20"/>
          <w:szCs w:val="20"/>
        </w:rPr>
        <w:t> </w:t>
      </w:r>
    </w:p>
    <w:p w:rsidR="0010196A" w:rsidRPr="00380F18" w:rsidRDefault="0010196A" w:rsidP="0010196A">
      <w:r w:rsidRPr="00380F18">
        <w:rPr>
          <w:color w:val="000000"/>
        </w:rPr>
        <w:br w:type="textWrapping" w:clear="all"/>
      </w:r>
    </w:p>
    <w:p w:rsidR="0010196A" w:rsidRPr="00380F18" w:rsidRDefault="0010196A" w:rsidP="0010196A">
      <w:pPr>
        <w:ind w:firstLine="567"/>
        <w:jc w:val="both"/>
        <w:rPr>
          <w:color w:val="000000"/>
          <w:sz w:val="26"/>
          <w:szCs w:val="26"/>
        </w:rPr>
      </w:pPr>
      <w:r w:rsidRPr="00380F18">
        <w:rPr>
          <w:color w:val="000000"/>
          <w:sz w:val="26"/>
          <w:szCs w:val="26"/>
        </w:rPr>
        <w:t> </w:t>
      </w:r>
    </w:p>
    <w:p w:rsidR="0010196A" w:rsidRPr="00380F18" w:rsidRDefault="0010196A" w:rsidP="0010196A">
      <w:pPr>
        <w:ind w:firstLine="709"/>
        <w:jc w:val="both"/>
        <w:rPr>
          <w:color w:val="000000"/>
        </w:rPr>
      </w:pPr>
      <w:r w:rsidRPr="00380F18">
        <w:rPr>
          <w:color w:val="000000"/>
        </w:rPr>
        <w:t> 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  <w:sectPr w:rsidR="0010196A" w:rsidRPr="00380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lastRenderedPageBreak/>
        <w:t>Приложение №1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к порядку формирования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перечня налоговых расходов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 и оценки 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налоговых расходов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b/>
          <w:bCs/>
          <w:color w:val="000000"/>
        </w:rPr>
        <w:t xml:space="preserve">Перечень налоговых расходов </w:t>
      </w:r>
      <w:r w:rsidRPr="007C1268">
        <w:rPr>
          <w:b/>
          <w:color w:val="000000" w:themeColor="text1"/>
        </w:rPr>
        <w:t>Светлодольского</w:t>
      </w:r>
      <w:r w:rsidRPr="00380F18">
        <w:rPr>
          <w:b/>
          <w:bCs/>
          <w:color w:val="000000"/>
        </w:rPr>
        <w:t xml:space="preserve"> сельсовета на очередной финансовый год и плановый период</w:t>
      </w:r>
    </w:p>
    <w:p w:rsidR="0010196A" w:rsidRPr="00380F18" w:rsidRDefault="0010196A" w:rsidP="0010196A">
      <w:pPr>
        <w:ind w:firstLine="567"/>
        <w:jc w:val="both"/>
        <w:rPr>
          <w:color w:val="000000"/>
        </w:rPr>
      </w:pPr>
      <w:r w:rsidRPr="00380F18">
        <w:rPr>
          <w:b/>
          <w:bCs/>
          <w:color w:val="000000"/>
        </w:rPr>
        <w:t xml:space="preserve"> </w:t>
      </w:r>
    </w:p>
    <w:tbl>
      <w:tblPr>
        <w:tblW w:w="1457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055"/>
        <w:gridCol w:w="1105"/>
        <w:gridCol w:w="1246"/>
        <w:gridCol w:w="1305"/>
        <w:gridCol w:w="992"/>
        <w:gridCol w:w="1418"/>
        <w:gridCol w:w="1461"/>
        <w:gridCol w:w="667"/>
        <w:gridCol w:w="717"/>
        <w:gridCol w:w="1137"/>
        <w:gridCol w:w="1546"/>
        <w:gridCol w:w="1418"/>
      </w:tblGrid>
      <w:tr w:rsidR="0010196A" w:rsidRPr="00380F18" w:rsidTr="001A4EAA">
        <w:trPr>
          <w:cantSplit/>
          <w:trHeight w:val="445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33" w:right="113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right="113" w:firstLine="34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Нормативный правовой акт, устанавливающий налоговый расход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34" w:right="113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right="113" w:firstLine="34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34" w:right="113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34" w:right="113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0196A" w:rsidRPr="00380F18" w:rsidRDefault="0010196A" w:rsidP="001A4EAA">
            <w:pPr>
              <w:ind w:left="113"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bCs/>
                <w:sz w:val="20"/>
                <w:szCs w:val="20"/>
              </w:rPr>
              <w:t>Наименования структурных элементов муниципальных программ, в целях реализации которых предоставляются налоговые расходы</w:t>
            </w:r>
          </w:p>
        </w:tc>
      </w:tr>
      <w:tr w:rsidR="0010196A" w:rsidRPr="00380F18" w:rsidTr="001A4EAA">
        <w:trPr>
          <w:cantSplit/>
          <w:trHeight w:val="681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6A" w:rsidRPr="00380F18" w:rsidRDefault="0010196A" w:rsidP="001A4EAA">
            <w:pPr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13</w:t>
            </w:r>
          </w:p>
        </w:tc>
      </w:tr>
      <w:tr w:rsidR="0010196A" w:rsidRPr="00380F18" w:rsidTr="001A4EAA">
        <w:trPr>
          <w:cantSplit/>
          <w:trHeight w:val="54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both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both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both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both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both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96A" w:rsidRPr="00380F18" w:rsidRDefault="0010196A" w:rsidP="001A4EAA">
            <w:pPr>
              <w:ind w:right="113" w:firstLine="567"/>
              <w:jc w:val="center"/>
              <w:rPr>
                <w:sz w:val="20"/>
                <w:szCs w:val="20"/>
              </w:rPr>
            </w:pPr>
            <w:r w:rsidRPr="00380F18">
              <w:rPr>
                <w:sz w:val="20"/>
                <w:szCs w:val="20"/>
              </w:rPr>
              <w:t> </w:t>
            </w:r>
          </w:p>
        </w:tc>
      </w:tr>
    </w:tbl>
    <w:p w:rsidR="0010196A" w:rsidRPr="00380F18" w:rsidRDefault="0010196A" w:rsidP="0010196A">
      <w:pPr>
        <w:ind w:firstLine="567"/>
        <w:jc w:val="both"/>
        <w:rPr>
          <w:color w:val="000000"/>
          <w:sz w:val="26"/>
          <w:szCs w:val="26"/>
        </w:rPr>
      </w:pPr>
      <w:r w:rsidRPr="00380F18">
        <w:rPr>
          <w:color w:val="000000"/>
          <w:sz w:val="26"/>
          <w:szCs w:val="26"/>
        </w:rPr>
        <w:t> </w:t>
      </w:r>
    </w:p>
    <w:p w:rsidR="0010196A" w:rsidRPr="00380F18" w:rsidRDefault="0010196A" w:rsidP="0010196A">
      <w:pPr>
        <w:ind w:right="360" w:firstLine="567"/>
        <w:jc w:val="both"/>
        <w:rPr>
          <w:b/>
          <w:bCs/>
          <w:color w:val="000000"/>
          <w:sz w:val="20"/>
          <w:szCs w:val="20"/>
        </w:rPr>
        <w:sectPr w:rsidR="0010196A" w:rsidRPr="00380F18" w:rsidSect="008C5D2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lastRenderedPageBreak/>
        <w:t>Приложение № 2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к порядку формирования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перечня налоговых расходов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color w:val="000000"/>
        </w:rPr>
        <w:t>и оценки налоговых расходов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>
        <w:rPr>
          <w:color w:val="000000" w:themeColor="text1"/>
        </w:rPr>
        <w:t>Светлодольского</w:t>
      </w:r>
      <w:r w:rsidRPr="00380F18">
        <w:rPr>
          <w:color w:val="000000"/>
        </w:rPr>
        <w:t xml:space="preserve"> сельсовета</w:t>
      </w:r>
    </w:p>
    <w:p w:rsidR="0010196A" w:rsidRPr="00380F18" w:rsidRDefault="0010196A" w:rsidP="0010196A">
      <w:pPr>
        <w:ind w:firstLine="567"/>
        <w:jc w:val="right"/>
        <w:rPr>
          <w:color w:val="000000"/>
        </w:rPr>
      </w:pPr>
      <w:r w:rsidRPr="00380F18">
        <w:rPr>
          <w:b/>
          <w:bCs/>
          <w:color w:val="000000"/>
        </w:rPr>
        <w:t> 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Информация о нормативных, целевых и фискальных</w:t>
      </w:r>
    </w:p>
    <w:p w:rsidR="0010196A" w:rsidRPr="00380F18" w:rsidRDefault="0010196A" w:rsidP="0010196A">
      <w:pPr>
        <w:ind w:firstLine="567"/>
        <w:jc w:val="center"/>
        <w:rPr>
          <w:color w:val="000000"/>
        </w:rPr>
      </w:pPr>
      <w:r w:rsidRPr="00380F18">
        <w:rPr>
          <w:b/>
          <w:bCs/>
          <w:color w:val="000000"/>
        </w:rPr>
        <w:t>характеристиках налоговых расходов</w:t>
      </w:r>
    </w:p>
    <w:p w:rsidR="0010196A" w:rsidRPr="00380F18" w:rsidRDefault="0010196A" w:rsidP="0010196A">
      <w:pPr>
        <w:ind w:firstLine="567"/>
        <w:jc w:val="both"/>
        <w:rPr>
          <w:color w:val="000000"/>
        </w:rPr>
      </w:pPr>
      <w:r w:rsidRPr="00380F18">
        <w:rPr>
          <w:color w:val="000000"/>
        </w:rPr>
        <w:t> 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549"/>
        <w:gridCol w:w="9011"/>
      </w:tblGrid>
      <w:tr w:rsidR="0010196A" w:rsidRPr="00380F18" w:rsidTr="001A4EAA">
        <w:trPr>
          <w:tblHeader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N п/п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Предоставляемая информация</w:t>
            </w:r>
          </w:p>
        </w:tc>
      </w:tr>
      <w:tr w:rsidR="0010196A" w:rsidRPr="00380F18" w:rsidTr="001A4EAA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Раздел I</w:t>
            </w:r>
          </w:p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Нормативные характеристики налоговых расходов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Даты начала действия, предоставленного нормативными правовыми актами права на льготы, освобождения и иные преференции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10196A" w:rsidRPr="00380F18" w:rsidTr="001A4EAA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Раздел II</w:t>
            </w:r>
          </w:p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Целевые характеристики налоговых расходов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Наименование льгот, освобождений и иных преференций по налогам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Целевая категория налогового расхода</w:t>
            </w:r>
          </w:p>
        </w:tc>
      </w:tr>
      <w:tr w:rsidR="0010196A" w:rsidRPr="00380F18" w:rsidTr="001A4EAA">
        <w:trPr>
          <w:trHeight w:val="72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10196A" w:rsidRPr="00380F18" w:rsidTr="001A4EAA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spacing w:line="21" w:lineRule="atLeast"/>
              <w:jc w:val="center"/>
            </w:pPr>
            <w:r w:rsidRPr="00380F18">
              <w:t>12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spacing w:line="21" w:lineRule="atLeast"/>
              <w:ind w:firstLine="444"/>
              <w:jc w:val="both"/>
            </w:pPr>
            <w:r w:rsidRPr="00380F18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10196A" w:rsidRPr="00380F18" w:rsidTr="001A4EAA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spacing w:line="21" w:lineRule="atLeast"/>
              <w:jc w:val="center"/>
            </w:pPr>
            <w:r w:rsidRPr="00380F18">
              <w:lastRenderedPageBreak/>
              <w:t>13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spacing w:line="21" w:lineRule="atLeast"/>
              <w:ind w:firstLine="444"/>
              <w:jc w:val="both"/>
            </w:pPr>
            <w:r w:rsidRPr="00380F18"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 xml:space="preserve">Код вида экономической деятельности (по ОКВЭД – «ОК 029-2014 - Общероссийский классификатор видов экономической деятельности», утвержденный Приказом </w:t>
            </w:r>
            <w:proofErr w:type="spellStart"/>
            <w:r w:rsidRPr="00380F18">
              <w:t>Росстандарта</w:t>
            </w:r>
            <w:proofErr w:type="spellEnd"/>
            <w:r w:rsidRPr="00380F18"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10196A" w:rsidRPr="00380F18" w:rsidTr="001A4EAA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Раздел III</w:t>
            </w:r>
          </w:p>
          <w:p w:rsidR="0010196A" w:rsidRPr="00380F18" w:rsidRDefault="0010196A" w:rsidP="001A4EAA">
            <w:pPr>
              <w:ind w:firstLine="567"/>
              <w:jc w:val="center"/>
            </w:pPr>
            <w:r w:rsidRPr="00380F18">
              <w:t>Фискальные характеристики налогового расхода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19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20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Базовый объем налогов, задекларированный для уплаты в консолидированный бюджет Курганской области плательщиками налогов, имеющими право на налоговые льготы, освобождения и иные преференции, установленные нормативными правовыми актами  (тыс. рублей)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21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10196A" w:rsidRPr="00380F18" w:rsidTr="001A4EAA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196A" w:rsidRPr="00380F18" w:rsidRDefault="0010196A" w:rsidP="001A4EAA">
            <w:pPr>
              <w:jc w:val="center"/>
            </w:pPr>
            <w:r w:rsidRPr="00380F18">
              <w:t>22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96A" w:rsidRPr="00380F18" w:rsidRDefault="0010196A" w:rsidP="001A4EAA">
            <w:pPr>
              <w:ind w:firstLine="444"/>
              <w:jc w:val="both"/>
            </w:pPr>
            <w:r w:rsidRPr="00380F18">
              <w:t>Результат оценки эффективности налогового расхода</w:t>
            </w:r>
          </w:p>
        </w:tc>
      </w:tr>
    </w:tbl>
    <w:p w:rsidR="0010196A" w:rsidRPr="00380F18" w:rsidRDefault="0010196A" w:rsidP="0010196A">
      <w:pPr>
        <w:ind w:firstLine="567"/>
        <w:jc w:val="both"/>
        <w:rPr>
          <w:color w:val="000000"/>
          <w:sz w:val="26"/>
          <w:szCs w:val="26"/>
        </w:rPr>
      </w:pPr>
    </w:p>
    <w:p w:rsidR="0010196A" w:rsidRPr="00380F18" w:rsidRDefault="0010196A" w:rsidP="001019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196A" w:rsidRDefault="0010196A" w:rsidP="0010196A"/>
    <w:p w:rsidR="0010196A" w:rsidRDefault="0010196A" w:rsidP="0010196A"/>
    <w:p w:rsidR="0017694D" w:rsidRDefault="0017694D">
      <w:bookmarkStart w:id="0" w:name="_GoBack"/>
      <w:bookmarkEnd w:id="0"/>
    </w:p>
    <w:sectPr w:rsidR="0017694D" w:rsidSect="0087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D179FE"/>
    <w:rsid w:val="0010196A"/>
    <w:rsid w:val="0017694D"/>
    <w:rsid w:val="008754EF"/>
    <w:rsid w:val="00D179FE"/>
    <w:rsid w:val="00F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10463</Characters>
  <Application>Microsoft Office Word</Application>
  <DocSecurity>0</DocSecurity>
  <Lines>87</Lines>
  <Paragraphs>24</Paragraphs>
  <ScaleCrop>false</ScaleCrop>
  <Company>Home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User</cp:lastModifiedBy>
  <cp:revision>2</cp:revision>
  <dcterms:created xsi:type="dcterms:W3CDTF">2021-03-29T10:27:00Z</dcterms:created>
  <dcterms:modified xsi:type="dcterms:W3CDTF">2021-03-29T10:27:00Z</dcterms:modified>
</cp:coreProperties>
</file>