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2E" w:rsidRDefault="00A6192E" w:rsidP="00A6192E">
      <w:pPr>
        <w:jc w:val="right"/>
        <w:rPr>
          <w:sz w:val="20"/>
          <w:szCs w:val="20"/>
        </w:rPr>
      </w:pPr>
      <w:r w:rsidRPr="00C061E7">
        <w:rPr>
          <w:sz w:val="20"/>
          <w:szCs w:val="20"/>
        </w:rPr>
        <w:t xml:space="preserve">Приложение </w:t>
      </w:r>
      <w:r>
        <w:rPr>
          <w:sz w:val="20"/>
          <w:szCs w:val="20"/>
        </w:rPr>
        <w:t xml:space="preserve">1 </w:t>
      </w:r>
      <w:r w:rsidRPr="00C061E7">
        <w:rPr>
          <w:sz w:val="20"/>
          <w:szCs w:val="20"/>
        </w:rPr>
        <w:t>к</w:t>
      </w:r>
      <w:r>
        <w:rPr>
          <w:sz w:val="20"/>
          <w:szCs w:val="20"/>
        </w:rPr>
        <w:t xml:space="preserve"> Постановлению Администрации </w:t>
      </w:r>
    </w:p>
    <w:p w:rsidR="00A6192E" w:rsidRDefault="00A6192E" w:rsidP="00A6192E">
      <w:pPr>
        <w:jc w:val="right"/>
        <w:rPr>
          <w:sz w:val="20"/>
          <w:szCs w:val="20"/>
        </w:rPr>
      </w:pPr>
      <w:r>
        <w:rPr>
          <w:sz w:val="20"/>
          <w:szCs w:val="20"/>
        </w:rPr>
        <w:t>Светлодольского сельсовета, Белозерского района</w:t>
      </w:r>
    </w:p>
    <w:p w:rsidR="00A6192E" w:rsidRDefault="00A6192E" w:rsidP="00A6192E">
      <w:pPr>
        <w:jc w:val="right"/>
        <w:rPr>
          <w:sz w:val="20"/>
          <w:szCs w:val="20"/>
        </w:rPr>
      </w:pPr>
      <w:r>
        <w:rPr>
          <w:sz w:val="20"/>
          <w:szCs w:val="20"/>
        </w:rPr>
        <w:t>Курганской области № 11  от 03.04.2019 г. «</w:t>
      </w:r>
      <w:proofErr w:type="gramStart"/>
      <w:r>
        <w:rPr>
          <w:sz w:val="20"/>
          <w:szCs w:val="20"/>
        </w:rPr>
        <w:t>Об</w:t>
      </w:r>
      <w:proofErr w:type="gramEnd"/>
      <w:r>
        <w:rPr>
          <w:sz w:val="20"/>
          <w:szCs w:val="20"/>
        </w:rPr>
        <w:t xml:space="preserve"> </w:t>
      </w:r>
    </w:p>
    <w:p w:rsidR="00A6192E" w:rsidRDefault="00A6192E" w:rsidP="00A6192E">
      <w:pPr>
        <w:jc w:val="right"/>
        <w:rPr>
          <w:sz w:val="20"/>
          <w:szCs w:val="20"/>
        </w:rPr>
      </w:pPr>
      <w:r>
        <w:rPr>
          <w:sz w:val="20"/>
          <w:szCs w:val="20"/>
        </w:rPr>
        <w:t xml:space="preserve">Утверждении схемы размещения </w:t>
      </w:r>
      <w:proofErr w:type="gramStart"/>
      <w:r>
        <w:rPr>
          <w:sz w:val="20"/>
          <w:szCs w:val="20"/>
        </w:rPr>
        <w:t>нестационарных</w:t>
      </w:r>
      <w:proofErr w:type="gramEnd"/>
    </w:p>
    <w:p w:rsidR="00A6192E" w:rsidRDefault="00A6192E" w:rsidP="00A6192E">
      <w:pPr>
        <w:jc w:val="right"/>
        <w:rPr>
          <w:sz w:val="20"/>
          <w:szCs w:val="20"/>
        </w:rPr>
      </w:pPr>
      <w:r>
        <w:rPr>
          <w:sz w:val="20"/>
          <w:szCs w:val="20"/>
        </w:rPr>
        <w:t xml:space="preserve"> торговых объектов на территории Светлодольского</w:t>
      </w:r>
    </w:p>
    <w:p w:rsidR="00A6192E" w:rsidRPr="00C061E7" w:rsidRDefault="00A6192E" w:rsidP="00A6192E">
      <w:pPr>
        <w:jc w:val="right"/>
        <w:rPr>
          <w:sz w:val="28"/>
          <w:szCs w:val="28"/>
        </w:rPr>
      </w:pPr>
      <w:r>
        <w:rPr>
          <w:sz w:val="20"/>
          <w:szCs w:val="20"/>
        </w:rPr>
        <w:t xml:space="preserve">сельсовета Белозерского района Курганской области» </w:t>
      </w:r>
      <w:r w:rsidRPr="00C061E7">
        <w:rPr>
          <w:sz w:val="28"/>
          <w:szCs w:val="28"/>
        </w:rPr>
        <w:t xml:space="preserve">                                                                                          </w:t>
      </w:r>
      <w:r>
        <w:rPr>
          <w:sz w:val="28"/>
          <w:szCs w:val="28"/>
        </w:rPr>
        <w:t xml:space="preserve">                             </w:t>
      </w:r>
    </w:p>
    <w:p w:rsidR="00A6192E" w:rsidRPr="00A8058F" w:rsidRDefault="00A6192E" w:rsidP="00A6192E">
      <w:pPr>
        <w:rPr>
          <w:rFonts w:eastAsia="Arial CYR" w:cs="Arial CYR"/>
          <w:sz w:val="28"/>
          <w:szCs w:val="28"/>
        </w:rPr>
      </w:pPr>
    </w:p>
    <w:p w:rsidR="00A6192E" w:rsidRPr="00A8058F" w:rsidRDefault="00A6192E" w:rsidP="00A6192E">
      <w:pPr>
        <w:jc w:val="right"/>
        <w:rPr>
          <w:b/>
          <w:bCs/>
          <w:sz w:val="28"/>
          <w:szCs w:val="28"/>
        </w:rPr>
      </w:pPr>
    </w:p>
    <w:p w:rsidR="00A6192E" w:rsidRPr="00A8058F" w:rsidRDefault="00A6192E" w:rsidP="00A6192E">
      <w:pPr>
        <w:jc w:val="center"/>
        <w:rPr>
          <w:b/>
          <w:bCs/>
          <w:sz w:val="28"/>
          <w:szCs w:val="28"/>
        </w:rPr>
      </w:pPr>
      <w:r w:rsidRPr="00A8058F">
        <w:rPr>
          <w:b/>
          <w:bCs/>
          <w:sz w:val="28"/>
          <w:szCs w:val="28"/>
        </w:rPr>
        <w:t xml:space="preserve">Схема размещения нестационарных торговых объектов на территории </w:t>
      </w:r>
      <w:r>
        <w:rPr>
          <w:b/>
          <w:bCs/>
          <w:sz w:val="28"/>
          <w:szCs w:val="28"/>
        </w:rPr>
        <w:t>Светлодольского</w:t>
      </w:r>
      <w:r w:rsidRPr="00A8058F">
        <w:rPr>
          <w:b/>
          <w:bCs/>
          <w:sz w:val="28"/>
          <w:szCs w:val="28"/>
        </w:rPr>
        <w:t xml:space="preserve"> сельсовета</w:t>
      </w:r>
    </w:p>
    <w:p w:rsidR="00A6192E" w:rsidRPr="00A8058F" w:rsidRDefault="00A6192E" w:rsidP="00A6192E">
      <w:pPr>
        <w:jc w:val="center"/>
        <w:rPr>
          <w:b/>
          <w:bCs/>
        </w:rPr>
      </w:pPr>
    </w:p>
    <w:p w:rsidR="00A6192E" w:rsidRPr="00A8058F" w:rsidRDefault="00A6192E" w:rsidP="00A6192E">
      <w:pPr>
        <w:jc w:val="center"/>
        <w:rPr>
          <w:b/>
          <w:bCs/>
        </w:rPr>
      </w:pPr>
    </w:p>
    <w:p w:rsidR="00A6192E" w:rsidRPr="00A8058F" w:rsidRDefault="00A6192E" w:rsidP="00A6192E">
      <w:pPr>
        <w:jc w:val="center"/>
        <w:rPr>
          <w:b/>
          <w:bCs/>
          <w:i/>
          <w:sz w:val="28"/>
          <w:szCs w:val="28"/>
        </w:rPr>
      </w:pPr>
      <w:r>
        <w:rPr>
          <w:b/>
          <w:bCs/>
          <w:i/>
          <w:sz w:val="28"/>
          <w:szCs w:val="28"/>
        </w:rPr>
        <w:t>1</w:t>
      </w:r>
      <w:r w:rsidRPr="00A8058F">
        <w:rPr>
          <w:b/>
          <w:bCs/>
          <w:i/>
          <w:sz w:val="28"/>
          <w:szCs w:val="28"/>
        </w:rPr>
        <w:t xml:space="preserve">.Схема размещения передвижных торговых объектов </w:t>
      </w:r>
    </w:p>
    <w:p w:rsidR="00A6192E" w:rsidRPr="00A8058F" w:rsidRDefault="00A6192E" w:rsidP="00A6192E">
      <w:pPr>
        <w:jc w:val="center"/>
        <w:rPr>
          <w:b/>
          <w:bCs/>
          <w:i/>
          <w:sz w:val="28"/>
          <w:szCs w:val="28"/>
        </w:rPr>
      </w:pPr>
    </w:p>
    <w:tbl>
      <w:tblPr>
        <w:tblW w:w="151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50"/>
        <w:gridCol w:w="3259"/>
        <w:gridCol w:w="1984"/>
        <w:gridCol w:w="1418"/>
        <w:gridCol w:w="1984"/>
        <w:gridCol w:w="1701"/>
        <w:gridCol w:w="1985"/>
        <w:gridCol w:w="1984"/>
      </w:tblGrid>
      <w:tr w:rsidR="00A6192E" w:rsidRPr="00A8058F" w:rsidTr="009A7B95">
        <w:tc>
          <w:tcPr>
            <w:tcW w:w="850"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 </w:t>
            </w:r>
            <w:proofErr w:type="gramStart"/>
            <w:r w:rsidRPr="00A8058F">
              <w:rPr>
                <w:rFonts w:eastAsia="Andale Sans UI"/>
                <w:kern w:val="2"/>
                <w:lang w:eastAsia="ar-SA"/>
              </w:rPr>
              <w:t>п</w:t>
            </w:r>
            <w:proofErr w:type="gramEnd"/>
            <w:r w:rsidRPr="00A8058F">
              <w:rPr>
                <w:rFonts w:eastAsia="Andale Sans UI"/>
                <w:kern w:val="2"/>
                <w:lang w:eastAsia="ar-SA"/>
              </w:rPr>
              <w:t>/п</w:t>
            </w:r>
          </w:p>
        </w:tc>
        <w:tc>
          <w:tcPr>
            <w:tcW w:w="3259"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Место размещения нестационарного торгового объекта </w:t>
            </w:r>
          </w:p>
        </w:tc>
        <w:tc>
          <w:tcPr>
            <w:tcW w:w="1984"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Вид </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собственности</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земельного</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участка</w:t>
            </w:r>
          </w:p>
        </w:tc>
        <w:tc>
          <w:tcPr>
            <w:tcW w:w="1418"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Площадь</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Площадь нестационарного торгового объекта</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(кв</w:t>
            </w:r>
            <w:proofErr w:type="gramStart"/>
            <w:r w:rsidRPr="00A8058F">
              <w:rPr>
                <w:rFonts w:eastAsia="Andale Sans UI"/>
                <w:kern w:val="2"/>
                <w:lang w:eastAsia="ar-SA"/>
              </w:rPr>
              <w:t>.м</w:t>
            </w:r>
            <w:proofErr w:type="gramEnd"/>
            <w:r w:rsidRPr="00A8058F">
              <w:rPr>
                <w:rFonts w:eastAsia="Andale Sans UI"/>
                <w:kern w:val="2"/>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Период осуществления деятельности торговых объектов</w:t>
            </w:r>
          </w:p>
        </w:tc>
        <w:tc>
          <w:tcPr>
            <w:tcW w:w="1985"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Специализация торгового объекта</w:t>
            </w:r>
          </w:p>
        </w:tc>
        <w:tc>
          <w:tcPr>
            <w:tcW w:w="1984"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Примечания</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Pr="00A8058F" w:rsidRDefault="00A6192E" w:rsidP="009A7B95">
            <w:pPr>
              <w:widowControl w:val="0"/>
              <w:numPr>
                <w:ilvl w:val="0"/>
                <w:numId w:val="2"/>
              </w:numPr>
              <w:suppressLineNumbers/>
              <w:suppressAutoHyphens/>
              <w:snapToGrid w:val="0"/>
              <w:spacing w:line="276" w:lineRule="auto"/>
              <w:rPr>
                <w:kern w:val="2"/>
                <w:lang w:eastAsia="ar-SA"/>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suppressLineNumbers/>
              <w:suppressAutoHyphens/>
              <w:snapToGrid w:val="0"/>
              <w:spacing w:line="276" w:lineRule="auto"/>
              <w:rPr>
                <w:rFonts w:eastAsia="Andale Sans UI"/>
                <w:kern w:val="2"/>
                <w:lang w:eastAsia="ar-SA"/>
              </w:rPr>
            </w:pPr>
            <w:r>
              <w:rPr>
                <w:rFonts w:eastAsia="Andale Sans UI"/>
                <w:kern w:val="2"/>
                <w:lang w:eastAsia="ar-SA"/>
              </w:rPr>
              <w:t xml:space="preserve">Ул. Свободы 13, </w:t>
            </w:r>
            <w:proofErr w:type="gramStart"/>
            <w:r>
              <w:rPr>
                <w:rFonts w:eastAsia="Andale Sans UI"/>
                <w:kern w:val="2"/>
                <w:lang w:eastAsia="ar-SA"/>
              </w:rPr>
              <w:t>с</w:t>
            </w:r>
            <w:proofErr w:type="gramEnd"/>
            <w:r>
              <w:rPr>
                <w:rFonts w:eastAsia="Andale Sans UI"/>
                <w:kern w:val="2"/>
                <w:lang w:eastAsia="ar-SA"/>
              </w:rPr>
              <w:t>. Светлый Дол</w:t>
            </w:r>
          </w:p>
          <w:p w:rsidR="00A6192E" w:rsidRPr="00A8058F" w:rsidRDefault="00A6192E" w:rsidP="009A7B95">
            <w:pPr>
              <w:widowControl w:val="0"/>
              <w:suppressLineNumbers/>
              <w:suppressAutoHyphens/>
              <w:snapToGrid w:val="0"/>
              <w:spacing w:line="276" w:lineRule="auto"/>
              <w:rPr>
                <w:kern w:val="2"/>
                <w:lang w:eastAsia="ar-SA"/>
              </w:rPr>
            </w:pPr>
            <w:r>
              <w:rPr>
                <w:rFonts w:eastAsia="Andale Sans UI"/>
                <w:kern w:val="2"/>
                <w:lang w:eastAsia="ar-SA"/>
              </w:rPr>
              <w:t>(вдоль парковой изгороди)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20.м.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3 по 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ind w:left="360"/>
              <w:rPr>
                <w:kern w:val="2"/>
                <w:lang w:eastAsia="ar-SA"/>
              </w:rPr>
            </w:pPr>
            <w:r w:rsidRPr="00A8058F">
              <w:rPr>
                <w:kern w:val="2"/>
                <w:lang w:eastAsia="ar-SA"/>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suppressLineNumbers/>
              <w:suppressAutoHyphens/>
              <w:snapToGrid w:val="0"/>
              <w:spacing w:line="276" w:lineRule="auto"/>
              <w:rPr>
                <w:kern w:val="2"/>
                <w:lang w:eastAsia="ar-SA"/>
              </w:rPr>
            </w:pPr>
            <w:r>
              <w:rPr>
                <w:kern w:val="2"/>
                <w:lang w:eastAsia="ar-SA"/>
              </w:rPr>
              <w:t xml:space="preserve">Ул. Сурова 6, </w:t>
            </w:r>
            <w:proofErr w:type="gramStart"/>
            <w:r>
              <w:rPr>
                <w:kern w:val="2"/>
                <w:lang w:eastAsia="ar-SA"/>
              </w:rPr>
              <w:t>с</w:t>
            </w:r>
            <w:proofErr w:type="gramEnd"/>
            <w:r>
              <w:rPr>
                <w:kern w:val="2"/>
                <w:lang w:eastAsia="ar-SA"/>
              </w:rPr>
              <w:t>. Светлый Дол</w:t>
            </w:r>
          </w:p>
          <w:p w:rsidR="00A6192E" w:rsidRPr="00A8058F" w:rsidRDefault="00A6192E" w:rsidP="009A7B95">
            <w:pPr>
              <w:widowControl w:val="0"/>
              <w:suppressLineNumbers/>
              <w:suppressAutoHyphens/>
              <w:snapToGrid w:val="0"/>
              <w:spacing w:line="276" w:lineRule="auto"/>
              <w:rPr>
                <w:kern w:val="2"/>
                <w:lang w:eastAsia="ar-SA"/>
              </w:rPr>
            </w:pPr>
            <w:r>
              <w:rPr>
                <w:kern w:val="2"/>
                <w:lang w:eastAsia="ar-SA"/>
              </w:rPr>
              <w:t>(возле магазина Светлый Дол)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Pr="00A8058F" w:rsidRDefault="00A6192E" w:rsidP="009A7B95">
            <w:pPr>
              <w:widowControl w:val="0"/>
              <w:suppressLineNumbers/>
              <w:suppressAutoHyphens/>
              <w:snapToGrid w:val="0"/>
              <w:spacing w:line="276" w:lineRule="auto"/>
              <w:ind w:left="360"/>
              <w:rPr>
                <w:kern w:val="2"/>
                <w:lang w:eastAsia="ar-SA"/>
              </w:rPr>
            </w:pPr>
            <w:r>
              <w:rPr>
                <w:kern w:val="2"/>
                <w:lang w:eastAsia="ar-SA"/>
              </w:rPr>
              <w:t>3.</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 xml:space="preserve"> Ул. Свободы 14, </w:t>
            </w:r>
            <w:proofErr w:type="gramStart"/>
            <w:r>
              <w:rPr>
                <w:kern w:val="2"/>
                <w:lang w:eastAsia="ar-SA"/>
              </w:rPr>
              <w:t>с</w:t>
            </w:r>
            <w:proofErr w:type="gramEnd"/>
            <w:r>
              <w:rPr>
                <w:kern w:val="2"/>
                <w:lang w:eastAsia="ar-SA"/>
              </w:rPr>
              <w:t>. Светлый Дол (напротив здания конторы)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Default="00A6192E" w:rsidP="009A7B95">
            <w:pPr>
              <w:widowControl w:val="0"/>
              <w:suppressLineNumbers/>
              <w:suppressAutoHyphens/>
              <w:snapToGrid w:val="0"/>
              <w:spacing w:line="276" w:lineRule="auto"/>
              <w:ind w:left="360"/>
              <w:rPr>
                <w:kern w:val="2"/>
                <w:lang w:eastAsia="ar-SA"/>
              </w:rPr>
            </w:pPr>
            <w:r>
              <w:rPr>
                <w:kern w:val="2"/>
                <w:lang w:eastAsia="ar-SA"/>
              </w:rPr>
              <w:t>4.</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 xml:space="preserve">Ул. Центральная 26, д. Мендерское </w:t>
            </w:r>
            <w:proofErr w:type="gramStart"/>
            <w:r>
              <w:rPr>
                <w:kern w:val="2"/>
                <w:lang w:eastAsia="ar-SA"/>
              </w:rPr>
              <w:t xml:space="preserve">( </w:t>
            </w:r>
            <w:proofErr w:type="gramEnd"/>
            <w:r>
              <w:rPr>
                <w:kern w:val="2"/>
                <w:lang w:eastAsia="ar-SA"/>
              </w:rPr>
              <w:t>возле здания сельского клуба)</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Default="00A6192E" w:rsidP="009A7B95">
            <w:pPr>
              <w:widowControl w:val="0"/>
              <w:suppressLineNumbers/>
              <w:suppressAutoHyphens/>
              <w:snapToGrid w:val="0"/>
              <w:spacing w:line="276" w:lineRule="auto"/>
              <w:ind w:left="360"/>
              <w:rPr>
                <w:kern w:val="2"/>
                <w:lang w:eastAsia="ar-SA"/>
              </w:rPr>
            </w:pPr>
            <w:r>
              <w:rPr>
                <w:kern w:val="2"/>
                <w:lang w:eastAsia="ar-SA"/>
              </w:rPr>
              <w:lastRenderedPageBreak/>
              <w:t>5.</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Ул. Дорожная 13, д. Юрково</w:t>
            </w:r>
          </w:p>
          <w:p w:rsidR="00A6192E" w:rsidRDefault="00A6192E" w:rsidP="009A7B95">
            <w:pPr>
              <w:widowControl w:val="0"/>
              <w:suppressLineNumbers/>
              <w:suppressAutoHyphens/>
              <w:snapToGrid w:val="0"/>
              <w:spacing w:line="276" w:lineRule="auto"/>
              <w:rPr>
                <w:kern w:val="2"/>
                <w:lang w:eastAsia="ar-SA"/>
              </w:rPr>
            </w:pPr>
            <w:r>
              <w:rPr>
                <w:kern w:val="2"/>
                <w:lang w:eastAsia="ar-SA"/>
              </w:rPr>
              <w:t>(возле здания сельского клуба)</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Default="00A6192E" w:rsidP="009A7B95">
            <w:pPr>
              <w:widowControl w:val="0"/>
              <w:suppressLineNumbers/>
              <w:suppressAutoHyphens/>
              <w:snapToGrid w:val="0"/>
              <w:spacing w:line="276" w:lineRule="auto"/>
              <w:ind w:left="360"/>
              <w:rPr>
                <w:kern w:val="2"/>
                <w:lang w:eastAsia="ar-SA"/>
              </w:rPr>
            </w:pPr>
            <w:r>
              <w:rPr>
                <w:kern w:val="2"/>
                <w:lang w:eastAsia="ar-SA"/>
              </w:rPr>
              <w:t>6.</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Ул. Школьная д.8, д. Орловка, (возле сельского клуба)</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Default="00A6192E" w:rsidP="009A7B95">
            <w:pPr>
              <w:widowControl w:val="0"/>
              <w:suppressLineNumbers/>
              <w:suppressAutoHyphens/>
              <w:snapToGrid w:val="0"/>
              <w:spacing w:line="276" w:lineRule="auto"/>
              <w:ind w:left="360"/>
              <w:rPr>
                <w:kern w:val="2"/>
                <w:lang w:eastAsia="ar-SA"/>
              </w:rPr>
            </w:pPr>
            <w:r>
              <w:rPr>
                <w:kern w:val="2"/>
                <w:lang w:eastAsia="ar-SA"/>
              </w:rPr>
              <w:t>7.</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Ул. Центральная 6, д. Кирово</w:t>
            </w:r>
          </w:p>
          <w:p w:rsidR="00A6192E" w:rsidRDefault="00A6192E" w:rsidP="009A7B95">
            <w:pPr>
              <w:widowControl w:val="0"/>
              <w:suppressLineNumbers/>
              <w:suppressAutoHyphens/>
              <w:snapToGrid w:val="0"/>
              <w:spacing w:line="276" w:lineRule="auto"/>
              <w:rPr>
                <w:kern w:val="2"/>
                <w:lang w:eastAsia="ar-SA"/>
              </w:rPr>
            </w:pPr>
            <w:proofErr w:type="gramStart"/>
            <w:r>
              <w:rPr>
                <w:kern w:val="2"/>
                <w:lang w:eastAsia="ar-SA"/>
              </w:rPr>
              <w:t>9возле здания конторы)</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bl>
    <w:p w:rsidR="00A6192E" w:rsidRPr="00A8058F" w:rsidRDefault="00A6192E" w:rsidP="00A6192E">
      <w:pPr>
        <w:ind w:firstLine="708"/>
        <w:jc w:val="both"/>
      </w:pPr>
      <w:r w:rsidRPr="00A8058F">
        <w:t xml:space="preserve">Примечание: </w:t>
      </w:r>
    </w:p>
    <w:p w:rsidR="00A6192E" w:rsidRPr="00A8058F" w:rsidRDefault="00A6192E" w:rsidP="00A6192E">
      <w:pPr>
        <w:jc w:val="both"/>
        <w:rPr>
          <w:rFonts w:eastAsia="Arial CYR" w:cs="Arial CYR"/>
          <w:i/>
        </w:rPr>
      </w:pPr>
      <w:r w:rsidRPr="00A8058F">
        <w:rPr>
          <w:rFonts w:eastAsia="Arial CYR" w:cs="Arial CYR"/>
        </w:rPr>
        <w:tab/>
        <w:t>Владельцы передвижных нестационарных торговых объектов обеспечивают возможность регулярного вывоза объекта с места торговли, предусмотрев соответствующий монтаж электрооборудования, наличие и рабочее состояние колес и прицепного оборудования.</w:t>
      </w:r>
    </w:p>
    <w:p w:rsidR="00A6192E" w:rsidRPr="00A8058F" w:rsidRDefault="00A6192E" w:rsidP="00A6192E">
      <w:pPr>
        <w:jc w:val="center"/>
        <w:rPr>
          <w:b/>
          <w:bCs/>
        </w:rPr>
      </w:pPr>
    </w:p>
    <w:p w:rsidR="00A6192E" w:rsidRDefault="00A6192E" w:rsidP="00A6192E">
      <w:pPr>
        <w:jc w:val="center"/>
        <w:rPr>
          <w:b/>
          <w:bCs/>
          <w:sz w:val="28"/>
          <w:szCs w:val="28"/>
        </w:rPr>
      </w:pPr>
      <w:r w:rsidRPr="00A8058F">
        <w:rPr>
          <w:b/>
          <w:bCs/>
          <w:sz w:val="28"/>
          <w:szCs w:val="28"/>
        </w:rPr>
        <w:tab/>
      </w:r>
    </w:p>
    <w:p w:rsidR="00A6192E" w:rsidRDefault="00A6192E" w:rsidP="00A6192E">
      <w:pPr>
        <w:jc w:val="center"/>
        <w:rPr>
          <w:b/>
          <w:bCs/>
          <w:sz w:val="28"/>
          <w:szCs w:val="28"/>
        </w:rPr>
      </w:pPr>
    </w:p>
    <w:p w:rsidR="00A6192E" w:rsidRPr="00A8058F" w:rsidRDefault="00A6192E" w:rsidP="00A6192E">
      <w:pPr>
        <w:jc w:val="center"/>
        <w:rPr>
          <w:b/>
          <w:bCs/>
          <w:i/>
          <w:sz w:val="28"/>
          <w:szCs w:val="28"/>
        </w:rPr>
      </w:pPr>
      <w:r>
        <w:rPr>
          <w:b/>
          <w:bCs/>
          <w:i/>
          <w:sz w:val="28"/>
          <w:szCs w:val="28"/>
        </w:rPr>
        <w:t>2</w:t>
      </w:r>
      <w:r w:rsidRPr="00A8058F">
        <w:rPr>
          <w:b/>
          <w:bCs/>
          <w:i/>
          <w:sz w:val="28"/>
          <w:szCs w:val="28"/>
        </w:rPr>
        <w:t>. Схема размещения сезонных торговых объектов</w:t>
      </w:r>
    </w:p>
    <w:p w:rsidR="00A6192E" w:rsidRPr="00A8058F" w:rsidRDefault="00A6192E" w:rsidP="00A6192E">
      <w:pPr>
        <w:jc w:val="both"/>
        <w:rPr>
          <w:i/>
          <w:sz w:val="28"/>
          <w:szCs w:val="28"/>
        </w:rPr>
      </w:pPr>
    </w:p>
    <w:tbl>
      <w:tblPr>
        <w:tblW w:w="1488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710"/>
        <w:gridCol w:w="3118"/>
        <w:gridCol w:w="1983"/>
        <w:gridCol w:w="1418"/>
        <w:gridCol w:w="1983"/>
        <w:gridCol w:w="1701"/>
        <w:gridCol w:w="1984"/>
        <w:gridCol w:w="1983"/>
      </w:tblGrid>
      <w:tr w:rsidR="00A6192E" w:rsidRPr="00A8058F" w:rsidTr="009A7B95">
        <w:tc>
          <w:tcPr>
            <w:tcW w:w="710"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w:t>
            </w:r>
          </w:p>
          <w:p w:rsidR="00A6192E" w:rsidRPr="00A8058F" w:rsidRDefault="00A6192E" w:rsidP="009A7B95">
            <w:pPr>
              <w:widowControl w:val="0"/>
              <w:suppressLineNumbers/>
              <w:suppressAutoHyphens/>
              <w:spacing w:line="276" w:lineRule="auto"/>
              <w:ind w:left="-55" w:firstLine="55"/>
              <w:jc w:val="center"/>
              <w:rPr>
                <w:rFonts w:eastAsia="Andale Sans UI"/>
                <w:kern w:val="2"/>
                <w:lang w:eastAsia="ar-SA"/>
              </w:rPr>
            </w:pPr>
            <w:proofErr w:type="gramStart"/>
            <w:r w:rsidRPr="00A8058F">
              <w:rPr>
                <w:rFonts w:eastAsia="Andale Sans UI"/>
                <w:kern w:val="2"/>
                <w:lang w:eastAsia="ar-SA"/>
              </w:rPr>
              <w:t>п</w:t>
            </w:r>
            <w:proofErr w:type="gramEnd"/>
            <w:r w:rsidRPr="00A8058F">
              <w:rPr>
                <w:rFonts w:eastAsia="Andale Sans UI"/>
                <w:kern w:val="2"/>
                <w:lang w:eastAsia="ar-SA"/>
              </w:rPr>
              <w:t>/п</w:t>
            </w:r>
          </w:p>
        </w:tc>
        <w:tc>
          <w:tcPr>
            <w:tcW w:w="3118"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Место размещения нестационарного торгового объекта </w:t>
            </w:r>
          </w:p>
        </w:tc>
        <w:tc>
          <w:tcPr>
            <w:tcW w:w="1983"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Вид </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собственности</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земельного</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участка</w:t>
            </w:r>
          </w:p>
        </w:tc>
        <w:tc>
          <w:tcPr>
            <w:tcW w:w="1418"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Площадь</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земельного участка</w:t>
            </w:r>
          </w:p>
        </w:tc>
        <w:tc>
          <w:tcPr>
            <w:tcW w:w="1983"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Площадь нестационарного торгового объекта</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(кв.м.)</w:t>
            </w:r>
          </w:p>
        </w:tc>
        <w:tc>
          <w:tcPr>
            <w:tcW w:w="1701"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Период осуществления деятельности торговых объектов</w:t>
            </w:r>
          </w:p>
        </w:tc>
        <w:tc>
          <w:tcPr>
            <w:tcW w:w="1984"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Специализация торгового объекта</w:t>
            </w:r>
          </w:p>
        </w:tc>
        <w:tc>
          <w:tcPr>
            <w:tcW w:w="1983"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Примечания</w:t>
            </w:r>
          </w:p>
        </w:tc>
      </w:tr>
      <w:tr w:rsidR="00A6192E" w:rsidRPr="00A8058F" w:rsidTr="009A7B95">
        <w:tc>
          <w:tcPr>
            <w:tcW w:w="710"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numPr>
                <w:ilvl w:val="0"/>
                <w:numId w:val="3"/>
              </w:numPr>
              <w:suppressLineNumbers/>
              <w:suppressAutoHyphens/>
              <w:snapToGrid w:val="0"/>
              <w:spacing w:line="276" w:lineRule="auto"/>
              <w:jc w:val="both"/>
              <w:rPr>
                <w:rFonts w:eastAsia="Andale Sans UI"/>
                <w:kern w:val="2"/>
                <w:lang w:eastAsia="ar-SA"/>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rPr>
                <w:kern w:val="2"/>
                <w:lang w:eastAsia="ar-SA"/>
              </w:rPr>
            </w:pPr>
            <w:r w:rsidRPr="00A8058F">
              <w:rPr>
                <w:kern w:val="2"/>
                <w:lang w:eastAsia="ar-SA"/>
              </w:rPr>
              <w:t xml:space="preserve">ул. </w:t>
            </w:r>
            <w:r>
              <w:rPr>
                <w:kern w:val="2"/>
                <w:lang w:eastAsia="ar-SA"/>
              </w:rPr>
              <w:t xml:space="preserve">Сурова 5 А, с. Светлый Дол </w:t>
            </w:r>
            <w:proofErr w:type="gramStart"/>
            <w:r>
              <w:rPr>
                <w:kern w:val="2"/>
                <w:lang w:eastAsia="ar-SA"/>
              </w:rPr>
              <w:t xml:space="preserve">( </w:t>
            </w:r>
            <w:proofErr w:type="gramEnd"/>
            <w:r>
              <w:rPr>
                <w:kern w:val="2"/>
                <w:lang w:eastAsia="ar-SA"/>
              </w:rPr>
              <w:t>возле магазина «Надежда»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2 до 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01.05.-15.10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овощи, фрукты</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автолавки</w:t>
            </w:r>
          </w:p>
        </w:tc>
      </w:tr>
    </w:tbl>
    <w:p w:rsidR="00A6192E" w:rsidRPr="00A8058F" w:rsidRDefault="00A6192E" w:rsidP="00A6192E">
      <w:pPr>
        <w:tabs>
          <w:tab w:val="center" w:pos="7568"/>
          <w:tab w:val="left" w:pos="12405"/>
        </w:tabs>
        <w:rPr>
          <w:bCs/>
          <w:iCs/>
        </w:rPr>
      </w:pPr>
    </w:p>
    <w:p w:rsidR="00A6192E" w:rsidRDefault="00A6192E" w:rsidP="00A6192E">
      <w:pPr>
        <w:tabs>
          <w:tab w:val="center" w:pos="7568"/>
          <w:tab w:val="left" w:pos="12405"/>
        </w:tabs>
        <w:rPr>
          <w:bCs/>
          <w:iCs/>
        </w:rPr>
      </w:pPr>
      <w:r w:rsidRPr="00A8058F">
        <w:rPr>
          <w:bCs/>
          <w:iCs/>
        </w:rPr>
        <w:t xml:space="preserve">    </w:t>
      </w:r>
    </w:p>
    <w:p w:rsidR="00A6192E" w:rsidRPr="00A8058F" w:rsidRDefault="00A6192E" w:rsidP="00A6192E">
      <w:pPr>
        <w:tabs>
          <w:tab w:val="center" w:pos="7568"/>
          <w:tab w:val="left" w:pos="12405"/>
        </w:tabs>
        <w:rPr>
          <w:bCs/>
          <w:iCs/>
        </w:rPr>
      </w:pPr>
    </w:p>
    <w:p w:rsidR="00A6192E" w:rsidRDefault="00A6192E" w:rsidP="00A6192E">
      <w:pPr>
        <w:tabs>
          <w:tab w:val="center" w:pos="7568"/>
          <w:tab w:val="left" w:pos="12405"/>
        </w:tabs>
        <w:rPr>
          <w:szCs w:val="20"/>
        </w:rPr>
      </w:pPr>
      <w:r w:rsidRPr="00A8058F">
        <w:rPr>
          <w:bCs/>
          <w:iCs/>
        </w:rPr>
        <w:t xml:space="preserve">  </w:t>
      </w:r>
    </w:p>
    <w:p w:rsidR="00A6192E" w:rsidRPr="0071717C" w:rsidRDefault="00A6192E" w:rsidP="00A6192E">
      <w:pPr>
        <w:tabs>
          <w:tab w:val="center" w:pos="7568"/>
          <w:tab w:val="left" w:pos="12405"/>
        </w:tabs>
        <w:rPr>
          <w:szCs w:val="20"/>
        </w:rPr>
      </w:pPr>
    </w:p>
    <w:p w:rsidR="00A6192E" w:rsidRDefault="00A6192E" w:rsidP="00A6192E">
      <w:pPr>
        <w:ind w:left="9072"/>
        <w:jc w:val="both"/>
        <w:rPr>
          <w:bCs/>
          <w:sz w:val="20"/>
          <w:szCs w:val="20"/>
        </w:rPr>
      </w:pPr>
      <w:r>
        <w:rPr>
          <w:bCs/>
          <w:sz w:val="20"/>
          <w:szCs w:val="20"/>
        </w:rPr>
        <w:lastRenderedPageBreak/>
        <w:t xml:space="preserve">     Приложение 2 к постановлению</w:t>
      </w:r>
    </w:p>
    <w:p w:rsidR="00A6192E" w:rsidRDefault="00A6192E" w:rsidP="00A6192E">
      <w:pPr>
        <w:ind w:left="9072"/>
        <w:jc w:val="both"/>
        <w:rPr>
          <w:bCs/>
          <w:sz w:val="20"/>
          <w:szCs w:val="20"/>
        </w:rPr>
      </w:pPr>
      <w:r>
        <w:rPr>
          <w:bCs/>
          <w:sz w:val="20"/>
          <w:szCs w:val="20"/>
        </w:rPr>
        <w:t>Администрации Светлодольского сельсовета</w:t>
      </w:r>
    </w:p>
    <w:p w:rsidR="00A6192E" w:rsidRDefault="00A6192E" w:rsidP="00A6192E">
      <w:pPr>
        <w:ind w:left="9072"/>
        <w:jc w:val="both"/>
        <w:rPr>
          <w:bCs/>
          <w:sz w:val="20"/>
          <w:szCs w:val="20"/>
        </w:rPr>
      </w:pPr>
      <w:r>
        <w:rPr>
          <w:bCs/>
          <w:sz w:val="20"/>
          <w:szCs w:val="20"/>
        </w:rPr>
        <w:t>от 03.04.2019 г.  № 11</w:t>
      </w:r>
    </w:p>
    <w:p w:rsidR="00A6192E" w:rsidRDefault="00A6192E" w:rsidP="00A6192E">
      <w:pPr>
        <w:ind w:left="9072"/>
        <w:jc w:val="both"/>
        <w:rPr>
          <w:sz w:val="20"/>
          <w:szCs w:val="20"/>
        </w:rPr>
      </w:pPr>
      <w:r>
        <w:rPr>
          <w:sz w:val="20"/>
          <w:szCs w:val="20"/>
        </w:rPr>
        <w:t>«Об утверждении схемы размещения нестационарных торговых объектов и методики определения размера платы за размещение нестационарного торгового объекта на территории Светлодольского  сельсовета Белозерского района Курганской области»</w:t>
      </w:r>
    </w:p>
    <w:p w:rsidR="00A6192E" w:rsidRDefault="00A6192E" w:rsidP="00A6192E">
      <w:pPr>
        <w:ind w:left="7938"/>
        <w:jc w:val="both"/>
        <w:rPr>
          <w:sz w:val="20"/>
          <w:szCs w:val="20"/>
        </w:rPr>
      </w:pPr>
    </w:p>
    <w:p w:rsidR="00A6192E" w:rsidRDefault="00A6192E" w:rsidP="00A6192E">
      <w:pPr>
        <w:ind w:left="7938"/>
        <w:jc w:val="both"/>
        <w:rPr>
          <w:bCs/>
          <w:sz w:val="20"/>
          <w:szCs w:val="20"/>
        </w:rPr>
      </w:pPr>
    </w:p>
    <w:p w:rsidR="00A6192E" w:rsidRDefault="00A6192E" w:rsidP="00A6192E">
      <w:pPr>
        <w:jc w:val="center"/>
        <w:rPr>
          <w:b/>
          <w:bCs/>
        </w:rPr>
      </w:pPr>
      <w:r>
        <w:rPr>
          <w:b/>
          <w:bCs/>
        </w:rPr>
        <w:t>Схема размещения нестационарных торговых объектов на территории Светлодольского сельсовета</w:t>
      </w:r>
    </w:p>
    <w:p w:rsidR="00A6192E" w:rsidRDefault="00A6192E" w:rsidP="00A6192E">
      <w:pPr>
        <w:jc w:val="center"/>
        <w:rPr>
          <w:b/>
          <w:bCs/>
          <w:i/>
        </w:rPr>
      </w:pPr>
    </w:p>
    <w:p w:rsidR="00A6192E" w:rsidRDefault="00A6192E" w:rsidP="00A6192E">
      <w:pPr>
        <w:jc w:val="center"/>
        <w:rPr>
          <w:b/>
          <w:bCs/>
          <w:i/>
        </w:rPr>
      </w:pPr>
      <w:r>
        <w:rPr>
          <w:b/>
          <w:bCs/>
        </w:rPr>
        <w:t xml:space="preserve">1.Схема размещения крытых торговых объектов </w:t>
      </w:r>
    </w:p>
    <w:p w:rsidR="00A6192E" w:rsidRDefault="00A6192E" w:rsidP="00A6192E">
      <w:pPr>
        <w:jc w:val="center"/>
        <w:rPr>
          <w:b/>
          <w:bCs/>
        </w:rPr>
      </w:pPr>
    </w:p>
    <w:tbl>
      <w:tblPr>
        <w:tblW w:w="13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93"/>
        <w:gridCol w:w="1984"/>
        <w:gridCol w:w="1418"/>
        <w:gridCol w:w="1984"/>
        <w:gridCol w:w="1701"/>
        <w:gridCol w:w="1985"/>
        <w:gridCol w:w="1559"/>
      </w:tblGrid>
      <w:tr w:rsidR="00A6192E" w:rsidTr="009A7B95">
        <w:trPr>
          <w:trHeight w:val="1463"/>
        </w:trPr>
        <w:tc>
          <w:tcPr>
            <w:tcW w:w="566"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 xml:space="preserve">№ </w:t>
            </w:r>
            <w:proofErr w:type="gramStart"/>
            <w:r>
              <w:rPr>
                <w:i/>
                <w:lang w:eastAsia="en-US"/>
              </w:rPr>
              <w:t>п</w:t>
            </w:r>
            <w:proofErr w:type="gramEnd"/>
            <w:r>
              <w:rPr>
                <w:i/>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Место размещения нестационарного объекта (адресный ориентир)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Вид собственности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snapToGrid w:val="0"/>
              <w:spacing w:line="276" w:lineRule="auto"/>
              <w:jc w:val="center"/>
              <w:rPr>
                <w:i/>
                <w:lang w:eastAsia="en-US"/>
              </w:rPr>
            </w:pPr>
            <w:r>
              <w:rPr>
                <w:i/>
                <w:lang w:eastAsia="en-US"/>
              </w:rPr>
              <w:t>Площадь земельного участка,</w:t>
            </w:r>
          </w:p>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кв</w:t>
            </w:r>
            <w:proofErr w:type="gramStart"/>
            <w:r>
              <w:rPr>
                <w:i/>
                <w:lang w:eastAsia="en-US"/>
              </w:rPr>
              <w:t>.м</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snapToGrid w:val="0"/>
              <w:spacing w:line="276" w:lineRule="auto"/>
              <w:jc w:val="center"/>
              <w:rPr>
                <w:i/>
                <w:lang w:eastAsia="en-US"/>
              </w:rPr>
            </w:pPr>
            <w:r>
              <w:rPr>
                <w:i/>
                <w:lang w:eastAsia="en-US"/>
              </w:rPr>
              <w:t>Площадь нестационарного торгового объекта,</w:t>
            </w:r>
          </w:p>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кв</w:t>
            </w:r>
            <w:proofErr w:type="gramStart"/>
            <w:r>
              <w:rPr>
                <w:i/>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Период осуществления деятельности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Специализация торгового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snapToGrid w:val="0"/>
              <w:spacing w:line="276" w:lineRule="auto"/>
              <w:jc w:val="center"/>
              <w:rPr>
                <w:i/>
                <w:lang w:eastAsia="en-US"/>
              </w:rPr>
            </w:pPr>
            <w:r>
              <w:rPr>
                <w:i/>
                <w:lang w:eastAsia="en-US"/>
              </w:rPr>
              <w:t>Примечание</w:t>
            </w:r>
          </w:p>
          <w:p w:rsidR="00A6192E" w:rsidRDefault="00A6192E" w:rsidP="009A7B95">
            <w:pPr>
              <w:widowControl w:val="0"/>
              <w:autoSpaceDE w:val="0"/>
              <w:autoSpaceDN w:val="0"/>
              <w:adjustRightInd w:val="0"/>
              <w:snapToGrid w:val="0"/>
              <w:spacing w:line="276" w:lineRule="auto"/>
              <w:jc w:val="center"/>
              <w:rPr>
                <w:b/>
                <w:i/>
                <w:lang w:eastAsia="en-US"/>
              </w:rPr>
            </w:pPr>
          </w:p>
        </w:tc>
      </w:tr>
      <w:tr w:rsidR="00A6192E" w:rsidTr="009A7B95">
        <w:trPr>
          <w:trHeight w:val="510"/>
        </w:trPr>
        <w:tc>
          <w:tcPr>
            <w:tcW w:w="566"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numPr>
                <w:ilvl w:val="0"/>
                <w:numId w:val="1"/>
              </w:numPr>
              <w:tabs>
                <w:tab w:val="num" w:pos="176"/>
                <w:tab w:val="num" w:pos="720"/>
              </w:tabs>
              <w:autoSpaceDN w:val="0"/>
              <w:adjustRightInd w:val="0"/>
              <w:snapToGrid w:val="0"/>
              <w:spacing w:line="276" w:lineRule="auto"/>
              <w:ind w:left="176" w:firstLine="0"/>
              <w:jc w:val="center"/>
              <w:rPr>
                <w: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rPr>
                <w:i/>
                <w:lang w:eastAsia="en-US"/>
              </w:rPr>
            </w:pPr>
            <w:r>
              <w:rPr>
                <w:i/>
                <w:lang w:eastAsia="en-US"/>
              </w:rPr>
              <w:t xml:space="preserve">С. Светлый Дол, ул. </w:t>
            </w:r>
            <w:proofErr w:type="gramStart"/>
            <w:r>
              <w:rPr>
                <w:i/>
                <w:lang w:eastAsia="en-US"/>
              </w:rPr>
              <w:t>Сурова</w:t>
            </w:r>
            <w:proofErr w:type="gramEnd"/>
            <w:r>
              <w:rPr>
                <w:i/>
                <w:lang w:eastAsia="en-US"/>
              </w:rPr>
              <w:t xml:space="preserve">, 5А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rPr>
                <w:i/>
                <w:lang w:eastAsia="en-US"/>
              </w:rPr>
            </w:pPr>
            <w:r>
              <w:rPr>
                <w:i/>
                <w:lang w:eastAsia="en-US"/>
              </w:rPr>
              <w:t>не разграничена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01.01-31.12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смешанный ассортимент товаров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spacing w:line="276" w:lineRule="auto"/>
              <w:rPr>
                <w:rFonts w:ascii="Calibri" w:eastAsia="Calibri" w:hAnsi="Calibri"/>
                <w:lang w:eastAsia="en-US"/>
              </w:rPr>
            </w:pPr>
          </w:p>
        </w:tc>
      </w:tr>
      <w:tr w:rsidR="00A6192E" w:rsidTr="009A7B95">
        <w:trPr>
          <w:trHeight w:val="510"/>
        </w:trPr>
        <w:tc>
          <w:tcPr>
            <w:tcW w:w="566"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numPr>
                <w:ilvl w:val="0"/>
                <w:numId w:val="1"/>
              </w:numPr>
              <w:tabs>
                <w:tab w:val="num" w:pos="176"/>
                <w:tab w:val="num" w:pos="720"/>
              </w:tabs>
              <w:autoSpaceDN w:val="0"/>
              <w:adjustRightInd w:val="0"/>
              <w:snapToGrid w:val="0"/>
              <w:spacing w:line="276" w:lineRule="auto"/>
              <w:ind w:left="176" w:firstLine="0"/>
              <w:jc w:val="center"/>
              <w:rPr>
                <w: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rPr>
                <w:i/>
                <w:lang w:eastAsia="en-US"/>
              </w:rPr>
            </w:pPr>
            <w:r>
              <w:rPr>
                <w:i/>
                <w:lang w:eastAsia="en-US"/>
              </w:rPr>
              <w:t xml:space="preserve">С. Светлый Дол, ул. Свободы, 34 </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rPr>
                <w:i/>
                <w:lang w:eastAsia="en-US"/>
              </w:rPr>
            </w:pPr>
            <w:r>
              <w:rPr>
                <w:i/>
                <w:lang w:eastAsia="en-US"/>
              </w:rPr>
              <w:t>не разграничена</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100</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смешанный ассортимент товаров</w:t>
            </w:r>
          </w:p>
        </w:tc>
        <w:tc>
          <w:tcPr>
            <w:tcW w:w="15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spacing w:line="276" w:lineRule="auto"/>
              <w:rPr>
                <w:rFonts w:ascii="Calibri" w:eastAsia="Calibri" w:hAnsi="Calibri"/>
                <w:lang w:eastAsia="en-US"/>
              </w:rPr>
            </w:pPr>
          </w:p>
        </w:tc>
      </w:tr>
    </w:tbl>
    <w:p w:rsidR="00A6192E" w:rsidRDefault="00A6192E" w:rsidP="00A6192E">
      <w:pPr>
        <w:ind w:left="709"/>
        <w:jc w:val="both"/>
      </w:pPr>
    </w:p>
    <w:p w:rsidR="00A6192E" w:rsidRDefault="00A6192E" w:rsidP="00A6192E">
      <w:pPr>
        <w:ind w:left="709"/>
        <w:jc w:val="both"/>
      </w:pPr>
    </w:p>
    <w:p w:rsidR="00A6192E" w:rsidRDefault="00A6192E" w:rsidP="00A6192E">
      <w:pPr>
        <w:ind w:left="709"/>
        <w:jc w:val="both"/>
        <w:rPr>
          <w:i/>
        </w:rPr>
      </w:pPr>
      <w:r>
        <w:rPr>
          <w:i/>
        </w:rPr>
        <w:t>Примечание:</w:t>
      </w:r>
    </w:p>
    <w:p w:rsidR="00A6192E" w:rsidRDefault="00A6192E" w:rsidP="00A6192E">
      <w:pPr>
        <w:ind w:left="709"/>
        <w:jc w:val="both"/>
        <w:rPr>
          <w:i/>
        </w:rPr>
      </w:pPr>
    </w:p>
    <w:p w:rsidR="00A6192E" w:rsidRDefault="00A6192E" w:rsidP="00A6192E">
      <w:pPr>
        <w:ind w:firstLine="709"/>
        <w:jc w:val="both"/>
        <w:rPr>
          <w:i/>
        </w:rPr>
      </w:pPr>
      <w:r>
        <w:rPr>
          <w:i/>
        </w:rPr>
        <w:t>1. Размещение нестационарных торговых объектов осуществляется с соблюдением специализации объекта в соответствии со схемой размещения.</w:t>
      </w:r>
    </w:p>
    <w:p w:rsidR="00A6192E" w:rsidRDefault="00A6192E" w:rsidP="00A6192E">
      <w:pPr>
        <w:ind w:firstLine="709"/>
        <w:jc w:val="both"/>
        <w:rPr>
          <w:b/>
          <w:bCs/>
        </w:rPr>
      </w:pPr>
      <w:r>
        <w:rPr>
          <w:i/>
        </w:rPr>
        <w:t>2. Территория, непосредственно прилегающая к нестационарным торговым объектам, обустраивается в соответствии с Правилами благоустройства Светлодольского сельсовета.</w:t>
      </w:r>
    </w:p>
    <w:p w:rsidR="00A6192E" w:rsidRDefault="00A6192E" w:rsidP="00A6192E">
      <w:pPr>
        <w:rPr>
          <w:b/>
          <w:bCs/>
        </w:rPr>
        <w:sectPr w:rsidR="00A6192E">
          <w:pgSz w:w="16838" w:h="11906" w:orient="landscape"/>
          <w:pgMar w:top="1701" w:right="1134" w:bottom="851" w:left="1134" w:header="709" w:footer="709" w:gutter="0"/>
          <w:cols w:space="720"/>
        </w:sectPr>
      </w:pPr>
    </w:p>
    <w:p w:rsidR="00A6192E" w:rsidRPr="00E316A7" w:rsidRDefault="00A6192E" w:rsidP="00A6192E">
      <w:pPr>
        <w:shd w:val="clear" w:color="auto" w:fill="FFFFFF"/>
        <w:jc w:val="right"/>
        <w:rPr>
          <w:bCs/>
          <w:color w:val="000000"/>
          <w:sz w:val="20"/>
          <w:szCs w:val="20"/>
        </w:rPr>
      </w:pPr>
      <w:r w:rsidRPr="00E316A7">
        <w:rPr>
          <w:bCs/>
          <w:color w:val="000000"/>
          <w:sz w:val="20"/>
          <w:szCs w:val="20"/>
        </w:rPr>
        <w:lastRenderedPageBreak/>
        <w:t>Приложение 3 к постановлению</w:t>
      </w:r>
    </w:p>
    <w:p w:rsidR="00A6192E" w:rsidRPr="00E316A7" w:rsidRDefault="00A6192E" w:rsidP="00A6192E">
      <w:pPr>
        <w:shd w:val="clear" w:color="auto" w:fill="FFFFFF"/>
        <w:jc w:val="right"/>
        <w:rPr>
          <w:bCs/>
          <w:color w:val="000000"/>
          <w:sz w:val="20"/>
          <w:szCs w:val="20"/>
        </w:rPr>
      </w:pPr>
      <w:r w:rsidRPr="00E316A7">
        <w:rPr>
          <w:bCs/>
          <w:color w:val="000000"/>
          <w:sz w:val="20"/>
          <w:szCs w:val="20"/>
        </w:rPr>
        <w:t>Администрации Светлодольского</w:t>
      </w:r>
    </w:p>
    <w:p w:rsidR="00A6192E" w:rsidRPr="00E316A7" w:rsidRDefault="00A6192E" w:rsidP="00A6192E">
      <w:pPr>
        <w:shd w:val="clear" w:color="auto" w:fill="FFFFFF"/>
        <w:jc w:val="right"/>
        <w:rPr>
          <w:bCs/>
          <w:color w:val="000000"/>
          <w:sz w:val="20"/>
          <w:szCs w:val="20"/>
        </w:rPr>
      </w:pPr>
      <w:r w:rsidRPr="00E316A7">
        <w:rPr>
          <w:bCs/>
          <w:color w:val="000000"/>
          <w:sz w:val="20"/>
          <w:szCs w:val="20"/>
        </w:rPr>
        <w:t>сельсовета от 03.04.2019 г.  № 11</w:t>
      </w:r>
    </w:p>
    <w:p w:rsidR="00A6192E" w:rsidRPr="00E316A7" w:rsidRDefault="00A6192E" w:rsidP="00A6192E">
      <w:pPr>
        <w:shd w:val="clear" w:color="auto" w:fill="FFFFFF"/>
        <w:jc w:val="right"/>
        <w:rPr>
          <w:bCs/>
          <w:color w:val="000000"/>
          <w:sz w:val="20"/>
          <w:szCs w:val="20"/>
        </w:rPr>
      </w:pPr>
      <w:r w:rsidRPr="00E316A7">
        <w:rPr>
          <w:bCs/>
          <w:color w:val="000000"/>
          <w:sz w:val="20"/>
          <w:szCs w:val="20"/>
        </w:rPr>
        <w:t>«Об утверждении схемы размещения</w:t>
      </w:r>
    </w:p>
    <w:p w:rsidR="00A6192E" w:rsidRPr="00E316A7" w:rsidRDefault="00A6192E" w:rsidP="00A6192E">
      <w:pPr>
        <w:shd w:val="clear" w:color="auto" w:fill="FFFFFF"/>
        <w:jc w:val="right"/>
        <w:rPr>
          <w:bCs/>
          <w:color w:val="000000"/>
          <w:sz w:val="20"/>
          <w:szCs w:val="20"/>
        </w:rPr>
      </w:pPr>
      <w:r w:rsidRPr="00E316A7">
        <w:rPr>
          <w:bCs/>
          <w:color w:val="000000"/>
          <w:sz w:val="20"/>
          <w:szCs w:val="20"/>
        </w:rPr>
        <w:t>нестационарных торговых объектов и</w:t>
      </w:r>
    </w:p>
    <w:p w:rsidR="00A6192E" w:rsidRPr="00E316A7" w:rsidRDefault="00A6192E" w:rsidP="00A6192E">
      <w:pPr>
        <w:shd w:val="clear" w:color="auto" w:fill="FFFFFF"/>
        <w:jc w:val="right"/>
        <w:rPr>
          <w:bCs/>
          <w:color w:val="000000"/>
          <w:sz w:val="20"/>
          <w:szCs w:val="20"/>
        </w:rPr>
      </w:pPr>
      <w:r w:rsidRPr="00E316A7">
        <w:rPr>
          <w:bCs/>
          <w:color w:val="000000"/>
          <w:sz w:val="20"/>
          <w:szCs w:val="20"/>
        </w:rPr>
        <w:t>методики определения размера платы</w:t>
      </w:r>
    </w:p>
    <w:p w:rsidR="00A6192E" w:rsidRPr="00E316A7" w:rsidRDefault="00A6192E" w:rsidP="00A6192E">
      <w:pPr>
        <w:shd w:val="clear" w:color="auto" w:fill="FFFFFF"/>
        <w:jc w:val="right"/>
        <w:rPr>
          <w:bCs/>
          <w:color w:val="000000"/>
          <w:sz w:val="20"/>
          <w:szCs w:val="20"/>
        </w:rPr>
      </w:pPr>
      <w:r w:rsidRPr="00E316A7">
        <w:rPr>
          <w:bCs/>
          <w:color w:val="000000"/>
          <w:sz w:val="20"/>
          <w:szCs w:val="20"/>
        </w:rPr>
        <w:t xml:space="preserve">за размещение </w:t>
      </w:r>
      <w:proofErr w:type="gramStart"/>
      <w:r w:rsidRPr="00E316A7">
        <w:rPr>
          <w:bCs/>
          <w:color w:val="000000"/>
          <w:sz w:val="20"/>
          <w:szCs w:val="20"/>
        </w:rPr>
        <w:t>нестационарного</w:t>
      </w:r>
      <w:proofErr w:type="gramEnd"/>
    </w:p>
    <w:p w:rsidR="00A6192E" w:rsidRPr="00E316A7" w:rsidRDefault="00A6192E" w:rsidP="00A6192E">
      <w:pPr>
        <w:shd w:val="clear" w:color="auto" w:fill="FFFFFF"/>
        <w:jc w:val="right"/>
        <w:rPr>
          <w:bCs/>
          <w:color w:val="000000"/>
          <w:sz w:val="20"/>
          <w:szCs w:val="20"/>
        </w:rPr>
      </w:pPr>
      <w:r w:rsidRPr="00E316A7">
        <w:rPr>
          <w:bCs/>
          <w:color w:val="000000"/>
          <w:sz w:val="20"/>
          <w:szCs w:val="20"/>
        </w:rPr>
        <w:t>торгового объекта на территории</w:t>
      </w:r>
    </w:p>
    <w:p w:rsidR="00A6192E" w:rsidRPr="00E316A7" w:rsidRDefault="00A6192E" w:rsidP="00A6192E">
      <w:pPr>
        <w:shd w:val="clear" w:color="auto" w:fill="FFFFFF"/>
        <w:jc w:val="right"/>
        <w:rPr>
          <w:bCs/>
          <w:color w:val="000000"/>
          <w:sz w:val="20"/>
          <w:szCs w:val="20"/>
        </w:rPr>
      </w:pPr>
      <w:r w:rsidRPr="00E316A7">
        <w:rPr>
          <w:bCs/>
          <w:color w:val="000000"/>
          <w:sz w:val="20"/>
          <w:szCs w:val="20"/>
        </w:rPr>
        <w:t>Светлодольского    сельсовета</w:t>
      </w:r>
    </w:p>
    <w:p w:rsidR="00A6192E" w:rsidRPr="00E316A7" w:rsidRDefault="00A6192E" w:rsidP="00A6192E">
      <w:pPr>
        <w:shd w:val="clear" w:color="auto" w:fill="FFFFFF"/>
        <w:spacing w:after="100" w:afterAutospacing="1"/>
        <w:jc w:val="right"/>
        <w:rPr>
          <w:bCs/>
          <w:color w:val="000000"/>
          <w:sz w:val="20"/>
          <w:szCs w:val="20"/>
        </w:rPr>
      </w:pPr>
      <w:r w:rsidRPr="00E316A7">
        <w:rPr>
          <w:bCs/>
          <w:color w:val="000000"/>
          <w:sz w:val="20"/>
          <w:szCs w:val="20"/>
        </w:rPr>
        <w:t>Белозерского района Курганской  области»</w:t>
      </w:r>
    </w:p>
    <w:p w:rsidR="00A6192E" w:rsidRDefault="00A6192E" w:rsidP="00A6192E">
      <w:pPr>
        <w:shd w:val="clear" w:color="auto" w:fill="FFFFFF"/>
        <w:spacing w:after="100" w:afterAutospacing="1"/>
        <w:jc w:val="right"/>
        <w:rPr>
          <w:b/>
          <w:bCs/>
          <w:color w:val="000000"/>
          <w:sz w:val="28"/>
          <w:szCs w:val="28"/>
        </w:rPr>
      </w:pPr>
      <w:r>
        <w:rPr>
          <w:bCs/>
          <w:color w:val="000000"/>
        </w:rPr>
        <w:t xml:space="preserve">      </w:t>
      </w:r>
    </w:p>
    <w:p w:rsidR="00A6192E" w:rsidRPr="00E316A7" w:rsidRDefault="00A6192E" w:rsidP="00A6192E">
      <w:pPr>
        <w:shd w:val="clear" w:color="auto" w:fill="FFFFFF"/>
        <w:spacing w:before="100" w:beforeAutospacing="1" w:after="100" w:afterAutospacing="1"/>
        <w:jc w:val="center"/>
        <w:rPr>
          <w:b/>
          <w:bCs/>
          <w:color w:val="000000"/>
        </w:rPr>
      </w:pPr>
      <w:r w:rsidRPr="00E316A7">
        <w:rPr>
          <w:b/>
          <w:bCs/>
          <w:color w:val="000000"/>
        </w:rPr>
        <w:t>МЕТОДИКА</w:t>
      </w:r>
    </w:p>
    <w:p w:rsidR="00A6192E" w:rsidRPr="00E316A7" w:rsidRDefault="00A6192E" w:rsidP="00A6192E">
      <w:pPr>
        <w:jc w:val="center"/>
        <w:rPr>
          <w:b/>
        </w:rPr>
      </w:pPr>
      <w:r w:rsidRPr="00E316A7">
        <w:rPr>
          <w:b/>
        </w:rPr>
        <w:t>определения размера платы за размещение крыт</w:t>
      </w:r>
      <w:r>
        <w:rPr>
          <w:b/>
        </w:rPr>
        <w:t>ых</w:t>
      </w:r>
      <w:r w:rsidRPr="00E316A7">
        <w:rPr>
          <w:b/>
        </w:rPr>
        <w:t xml:space="preserve"> нестационарн</w:t>
      </w:r>
      <w:r>
        <w:rPr>
          <w:b/>
        </w:rPr>
        <w:t>ых</w:t>
      </w:r>
      <w:r w:rsidRPr="00E316A7">
        <w:rPr>
          <w:b/>
        </w:rPr>
        <w:t xml:space="preserve"> торгов</w:t>
      </w:r>
      <w:r>
        <w:rPr>
          <w:b/>
        </w:rPr>
        <w:t>ых</w:t>
      </w:r>
      <w:r w:rsidRPr="00E316A7">
        <w:rPr>
          <w:b/>
        </w:rPr>
        <w:t xml:space="preserve"> объект</w:t>
      </w:r>
      <w:r>
        <w:rPr>
          <w:b/>
        </w:rPr>
        <w:t>ов</w:t>
      </w:r>
      <w:r w:rsidRPr="00E316A7">
        <w:rPr>
          <w:b/>
        </w:rPr>
        <w:t xml:space="preserve"> на территории Светлодольского сельсовета</w:t>
      </w:r>
    </w:p>
    <w:p w:rsidR="00A6192E" w:rsidRPr="00E316A7" w:rsidRDefault="00A6192E" w:rsidP="00A6192E">
      <w:pPr>
        <w:jc w:val="center"/>
        <w:rPr>
          <w:b/>
          <w:bCs/>
          <w:color w:val="000000"/>
        </w:rPr>
      </w:pPr>
      <w:r w:rsidRPr="00E316A7">
        <w:rPr>
          <w:b/>
        </w:rPr>
        <w:t>Белозерского района Курганской области</w:t>
      </w:r>
    </w:p>
    <w:p w:rsidR="00A6192E" w:rsidRPr="00E316A7" w:rsidRDefault="00A6192E" w:rsidP="00A6192E">
      <w:pPr>
        <w:jc w:val="both"/>
        <w:rPr>
          <w:rFonts w:eastAsia="Arial CYR" w:cs="Arial CYR"/>
        </w:rPr>
      </w:pPr>
    </w:p>
    <w:p w:rsidR="00A6192E" w:rsidRPr="00E316A7" w:rsidRDefault="00A6192E" w:rsidP="00A6192E">
      <w:pPr>
        <w:ind w:firstLine="709"/>
        <w:rPr>
          <w:b/>
        </w:rPr>
      </w:pPr>
      <w:r w:rsidRPr="00E316A7">
        <w:rPr>
          <w:b/>
          <w:bCs/>
        </w:rPr>
        <w:t xml:space="preserve">                          Глава 1. Общие положения</w:t>
      </w:r>
    </w:p>
    <w:p w:rsidR="00A6192E" w:rsidRPr="00E316A7" w:rsidRDefault="00A6192E" w:rsidP="00A6192E">
      <w:pPr>
        <w:ind w:firstLine="709"/>
        <w:jc w:val="center"/>
      </w:pPr>
    </w:p>
    <w:p w:rsidR="00A6192E" w:rsidRPr="00E316A7" w:rsidRDefault="00A6192E" w:rsidP="00A6192E">
      <w:pPr>
        <w:ind w:firstLine="709"/>
        <w:jc w:val="both"/>
        <w:outlineLvl w:val="2"/>
      </w:pPr>
      <w:r w:rsidRPr="00E316A7">
        <w:t xml:space="preserve">1. </w:t>
      </w:r>
      <w:proofErr w:type="gramStart"/>
      <w:r w:rsidRPr="00E316A7">
        <w:t>Настоящая Методика разработана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Уставом муниципального образования Светлодольского сельсовета, в целях создания методической базы и порядка определения размера платы за размещение нестационарных торговых объектов на территории Светлодольского сельсовета.</w:t>
      </w:r>
      <w:proofErr w:type="gramEnd"/>
    </w:p>
    <w:p w:rsidR="00A6192E" w:rsidRPr="00E316A7" w:rsidRDefault="00A6192E" w:rsidP="00A6192E">
      <w:pPr>
        <w:ind w:firstLine="709"/>
        <w:jc w:val="both"/>
        <w:outlineLvl w:val="2"/>
      </w:pPr>
      <w:r w:rsidRPr="00E316A7">
        <w:t>2. Основанием для взимания Платы за размещение нестационарного крытого торгового объекта является Договор на размещение нестационарного торгового объекта (далее - Договор).</w:t>
      </w:r>
    </w:p>
    <w:p w:rsidR="00A6192E" w:rsidRPr="00E316A7" w:rsidRDefault="00A6192E" w:rsidP="00A6192E">
      <w:pPr>
        <w:ind w:firstLine="709"/>
        <w:jc w:val="both"/>
      </w:pPr>
      <w:r w:rsidRPr="00E316A7">
        <w:t xml:space="preserve">3. Размер Платы за размещение нестационарного крытого торгового объекта, рассчитанный в соответствии с настоящей Методикой, используется для определения ежегодного размера Платы за размещение нестационарного торгового объекта по Договору, заключенному по результатам торгов, проводимых в форме открытого аукциона, и по Договору без проведения торгов. </w:t>
      </w:r>
    </w:p>
    <w:p w:rsidR="00A6192E" w:rsidRPr="00E316A7" w:rsidRDefault="00A6192E" w:rsidP="00A6192E">
      <w:pPr>
        <w:ind w:firstLine="709"/>
        <w:jc w:val="both"/>
      </w:pPr>
      <w:r w:rsidRPr="00E316A7">
        <w:t>Плата за размещение нестационарного крытого торгового объекта подлежит перечислению в бюджет Светлодольского сельсовета в соответствии с Договором.</w:t>
      </w:r>
    </w:p>
    <w:p w:rsidR="00A6192E" w:rsidRPr="00E316A7" w:rsidRDefault="00A6192E" w:rsidP="00A6192E">
      <w:pPr>
        <w:ind w:firstLine="709"/>
        <w:jc w:val="both"/>
      </w:pPr>
    </w:p>
    <w:p w:rsidR="00A6192E" w:rsidRPr="00E316A7" w:rsidRDefault="00A6192E" w:rsidP="00A6192E">
      <w:pPr>
        <w:ind w:firstLine="709"/>
        <w:jc w:val="both"/>
      </w:pPr>
    </w:p>
    <w:p w:rsidR="00A6192E" w:rsidRPr="00E316A7" w:rsidRDefault="00A6192E" w:rsidP="00A6192E">
      <w:pPr>
        <w:ind w:firstLine="709"/>
        <w:jc w:val="both"/>
      </w:pPr>
    </w:p>
    <w:p w:rsidR="00A6192E" w:rsidRPr="00E316A7" w:rsidRDefault="00A6192E" w:rsidP="00A6192E">
      <w:pPr>
        <w:jc w:val="both"/>
        <w:outlineLvl w:val="2"/>
      </w:pPr>
    </w:p>
    <w:p w:rsidR="00A6192E" w:rsidRPr="00E316A7" w:rsidRDefault="00A6192E" w:rsidP="00A6192E">
      <w:pPr>
        <w:ind w:firstLine="709"/>
        <w:jc w:val="center"/>
        <w:rPr>
          <w:b/>
          <w:bCs/>
        </w:rPr>
      </w:pPr>
      <w:r w:rsidRPr="00E316A7">
        <w:rPr>
          <w:b/>
          <w:bCs/>
        </w:rPr>
        <w:t>Глава 2. Определение размера платы за размещение крытого нестационарного торгового объекта</w:t>
      </w:r>
    </w:p>
    <w:p w:rsidR="00A6192E" w:rsidRPr="00E316A7" w:rsidRDefault="00A6192E" w:rsidP="00A6192E">
      <w:pPr>
        <w:ind w:firstLine="709"/>
        <w:jc w:val="both"/>
      </w:pPr>
    </w:p>
    <w:p w:rsidR="00A6192E" w:rsidRPr="00E316A7" w:rsidRDefault="00A6192E" w:rsidP="00A6192E">
      <w:pPr>
        <w:ind w:firstLine="709"/>
        <w:jc w:val="both"/>
      </w:pPr>
      <w:r w:rsidRPr="00E316A7">
        <w:t>4.  Размер Платы  за размещение нестационарного крытого торгового объекта по Договору, заключенному по результатам торгов, проводимых в форме открытого аукциона, и Платы за размещение нестационарного торгового объекта по Договору без проведения торгов, определяется по формуле:</w:t>
      </w:r>
    </w:p>
    <w:p w:rsidR="00A6192E" w:rsidRPr="00E316A7" w:rsidRDefault="00A6192E" w:rsidP="00A6192E">
      <w:pPr>
        <w:ind w:firstLine="709"/>
        <w:jc w:val="both"/>
      </w:pPr>
    </w:p>
    <w:p w:rsidR="00A6192E" w:rsidRPr="00E316A7" w:rsidRDefault="00A6192E" w:rsidP="00A6192E">
      <w:pPr>
        <w:ind w:firstLine="709"/>
      </w:pPr>
      <w:proofErr w:type="spellStart"/>
      <w:r w:rsidRPr="00E316A7">
        <w:t>П</w:t>
      </w:r>
      <w:r w:rsidRPr="00E316A7">
        <w:rPr>
          <w:vertAlign w:val="subscript"/>
        </w:rPr>
        <w:t>д</w:t>
      </w:r>
      <w:proofErr w:type="spellEnd"/>
      <w:proofErr w:type="gramStart"/>
      <w:r w:rsidRPr="00E316A7">
        <w:t xml:space="preserve"> = А</w:t>
      </w:r>
      <w:proofErr w:type="gramEnd"/>
      <w:r w:rsidRPr="00E316A7">
        <w:t xml:space="preserve"> / 365 * Т, где:</w:t>
      </w:r>
    </w:p>
    <w:p w:rsidR="00A6192E" w:rsidRPr="00E316A7" w:rsidRDefault="00A6192E" w:rsidP="00A6192E">
      <w:pPr>
        <w:ind w:firstLine="709"/>
        <w:jc w:val="center"/>
      </w:pPr>
    </w:p>
    <w:p w:rsidR="00A6192E" w:rsidRPr="00E316A7" w:rsidRDefault="00A6192E" w:rsidP="00A6192E">
      <w:pPr>
        <w:ind w:firstLine="709"/>
        <w:jc w:val="both"/>
      </w:pPr>
      <w:proofErr w:type="spellStart"/>
      <w:r w:rsidRPr="00E316A7">
        <w:t>П</w:t>
      </w:r>
      <w:r w:rsidRPr="00E316A7">
        <w:rPr>
          <w:vertAlign w:val="subscript"/>
        </w:rPr>
        <w:t>д</w:t>
      </w:r>
      <w:proofErr w:type="spellEnd"/>
      <w:r w:rsidRPr="00E316A7">
        <w:t xml:space="preserve"> - размер Платы за размещение нестационарного крытого торгового объекта по Договору, рублей; </w:t>
      </w:r>
    </w:p>
    <w:p w:rsidR="00A6192E" w:rsidRPr="00E316A7" w:rsidRDefault="00A6192E" w:rsidP="00A6192E">
      <w:pPr>
        <w:ind w:firstLine="709"/>
        <w:jc w:val="both"/>
      </w:pPr>
      <w:r w:rsidRPr="00E316A7">
        <w:lastRenderedPageBreak/>
        <w:t>Т - период размещения нестационарного крытого торгового объекта по Договору, количество дней;</w:t>
      </w:r>
    </w:p>
    <w:p w:rsidR="00A6192E" w:rsidRPr="00E316A7" w:rsidRDefault="00A6192E" w:rsidP="00A6192E">
      <w:pPr>
        <w:ind w:firstLine="709"/>
        <w:jc w:val="both"/>
      </w:pPr>
      <w:r w:rsidRPr="00E316A7">
        <w:t>А - размер Платы по Договору в год, рублей/ в год;</w:t>
      </w:r>
    </w:p>
    <w:p w:rsidR="00A6192E" w:rsidRPr="00E316A7" w:rsidRDefault="00A6192E" w:rsidP="00A6192E">
      <w:pPr>
        <w:ind w:firstLine="709"/>
        <w:jc w:val="both"/>
      </w:pPr>
      <w:r w:rsidRPr="00E316A7">
        <w:t>365 - показатель, учитывающий количество дней в году.</w:t>
      </w:r>
    </w:p>
    <w:p w:rsidR="00A6192E" w:rsidRPr="00E316A7" w:rsidRDefault="00A6192E" w:rsidP="00A6192E">
      <w:pPr>
        <w:ind w:firstLine="709"/>
        <w:jc w:val="both"/>
      </w:pPr>
      <w:r w:rsidRPr="00E316A7">
        <w:t>Размер Платы по Договору в год определяется по следующей формуле:</w:t>
      </w:r>
    </w:p>
    <w:p w:rsidR="00A6192E" w:rsidRPr="00E316A7" w:rsidRDefault="00A6192E" w:rsidP="00A6192E">
      <w:pPr>
        <w:ind w:firstLine="709"/>
        <w:jc w:val="both"/>
      </w:pPr>
      <w:r w:rsidRPr="00E316A7">
        <w:t xml:space="preserve">А = СУКСЗУ * %КС / 100% * </w:t>
      </w:r>
      <w:r w:rsidRPr="00E316A7">
        <w:rPr>
          <w:lang w:val="en-US"/>
        </w:rPr>
        <w:t>S</w:t>
      </w:r>
      <w:r w:rsidRPr="00E316A7">
        <w:t>, где:</w:t>
      </w:r>
    </w:p>
    <w:p w:rsidR="00A6192E" w:rsidRPr="00E316A7" w:rsidRDefault="00A6192E" w:rsidP="00A6192E">
      <w:pPr>
        <w:ind w:firstLine="709"/>
        <w:jc w:val="both"/>
      </w:pPr>
      <w:r w:rsidRPr="00E316A7">
        <w:t>СУКСЗУ - средний уровень кадастровой стоимости земель населенных пунктов по муниципальному образованию Светлодольского сельсовета, соответствующий виду разрешенного использования для размещения объектов торговли,  рублей/кв.м.;</w:t>
      </w:r>
    </w:p>
    <w:p w:rsidR="00A6192E" w:rsidRPr="00E316A7" w:rsidRDefault="00A6192E" w:rsidP="00A6192E">
      <w:pPr>
        <w:ind w:firstLine="709"/>
        <w:jc w:val="both"/>
      </w:pPr>
      <w:r w:rsidRPr="00E316A7">
        <w:t>%КС - процент кадастровой стоимости для размещения нестационарного торгового объекта, установленный в размере 30%;</w:t>
      </w:r>
    </w:p>
    <w:p w:rsidR="00A6192E" w:rsidRPr="00E316A7" w:rsidRDefault="00A6192E" w:rsidP="00A6192E">
      <w:pPr>
        <w:ind w:firstLine="709"/>
        <w:jc w:val="both"/>
      </w:pPr>
      <w:r w:rsidRPr="00E316A7">
        <w:t>S - общая площадь места размещения нестационарного крытого торгового объекта, кв.м.</w:t>
      </w:r>
    </w:p>
    <w:p w:rsidR="00A6192E" w:rsidRPr="00E316A7" w:rsidRDefault="00A6192E" w:rsidP="00A6192E">
      <w:pPr>
        <w:ind w:firstLine="709"/>
        <w:jc w:val="both"/>
      </w:pPr>
    </w:p>
    <w:p w:rsidR="00A6192E" w:rsidRPr="00E316A7" w:rsidRDefault="00A6192E" w:rsidP="00A6192E">
      <w:pPr>
        <w:ind w:firstLine="709"/>
        <w:jc w:val="both"/>
      </w:pPr>
      <w:r w:rsidRPr="00E316A7">
        <w:t xml:space="preserve">5. Плата за размещение нестационарного крытого торгового объекта по Договору вносится Субъектом торговли равными долями ежемесячно, не позднее 10 дней по окончании каждого месяца (за исключением 12-го месяца, плата за который вносится не позднее 10 декабря текущего года) на расчетный счет, указанный в Договоре. </w:t>
      </w:r>
    </w:p>
    <w:p w:rsidR="00A6192E" w:rsidRPr="00E316A7" w:rsidRDefault="00A6192E" w:rsidP="00A6192E">
      <w:pPr>
        <w:jc w:val="both"/>
      </w:pPr>
      <w:r w:rsidRPr="00E316A7">
        <w:tab/>
        <w:t xml:space="preserve">10. </w:t>
      </w:r>
      <w:proofErr w:type="gramStart"/>
      <w:r w:rsidRPr="00E316A7">
        <w:t>В случае изменения среднего уровня кадастровой стоимости земель населенных пунктов по муниципальному образованию Светлодольского сельсовета, соответствующего виду разрешенного использования для размещения объектов торговли, определенный согласно настоящей Методике размер Платы за размещение нестационарного крытого торгового объекта пересчитывается в одностороннем порядке и действует с момента его изменения без подписания дополнительных соглашений к договору.</w:t>
      </w:r>
      <w:proofErr w:type="gramEnd"/>
    </w:p>
    <w:p w:rsidR="00A6192E" w:rsidRPr="00E316A7" w:rsidRDefault="00A6192E" w:rsidP="00A6192E">
      <w:pPr>
        <w:jc w:val="both"/>
      </w:pPr>
    </w:p>
    <w:p w:rsidR="00A6192E" w:rsidRPr="00E316A7" w:rsidRDefault="00A6192E" w:rsidP="00A6192E">
      <w:pPr>
        <w:ind w:firstLine="709"/>
        <w:jc w:val="center"/>
      </w:pPr>
    </w:p>
    <w:p w:rsidR="00A6192E" w:rsidRPr="00E316A7" w:rsidRDefault="00A6192E" w:rsidP="00A6192E">
      <w:r w:rsidRPr="00E316A7">
        <w:t xml:space="preserve">Заместитель Главы Светлодольского сельсовета                </w:t>
      </w:r>
      <w:r>
        <w:t xml:space="preserve">                       </w:t>
      </w:r>
      <w:r w:rsidRPr="00E316A7">
        <w:t xml:space="preserve">          Н.С. Якушева</w:t>
      </w:r>
    </w:p>
    <w:p w:rsidR="00A6192E" w:rsidRPr="00E316A7" w:rsidRDefault="00A6192E" w:rsidP="00A6192E">
      <w:pPr>
        <w:jc w:val="center"/>
        <w:rPr>
          <w:b/>
          <w:bCs/>
        </w:rPr>
      </w:pPr>
    </w:p>
    <w:p w:rsidR="00A6192E" w:rsidRPr="00E316A7" w:rsidRDefault="00A6192E" w:rsidP="00A6192E"/>
    <w:p w:rsidR="00A6192E" w:rsidRPr="00E316A7" w:rsidRDefault="00A6192E" w:rsidP="00A6192E">
      <w:pPr>
        <w:widowControl w:val="0"/>
        <w:shd w:val="clear" w:color="auto" w:fill="FFFFFF"/>
        <w:autoSpaceDE w:val="0"/>
        <w:autoSpaceDN w:val="0"/>
        <w:adjustRightInd w:val="0"/>
        <w:ind w:left="2011" w:right="2016"/>
        <w:jc w:val="both"/>
        <w:rPr>
          <w:b/>
          <w:bCs/>
          <w:spacing w:val="-1"/>
        </w:rPr>
      </w:pPr>
    </w:p>
    <w:p w:rsidR="00A6192E" w:rsidRPr="00E316A7" w:rsidRDefault="00A6192E" w:rsidP="00A6192E"/>
    <w:p w:rsidR="00A6192E" w:rsidRPr="00E316A7" w:rsidRDefault="00A6192E" w:rsidP="00A6192E"/>
    <w:p w:rsidR="00555A9A" w:rsidRDefault="00555A9A">
      <w:bookmarkStart w:id="0" w:name="_GoBack"/>
      <w:bookmarkEnd w:id="0"/>
    </w:p>
    <w:sectPr w:rsidR="00555A9A" w:rsidSect="00245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7C6"/>
    <w:multiLevelType w:val="hybridMultilevel"/>
    <w:tmpl w:val="5776A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6B103CB"/>
    <w:multiLevelType w:val="hybridMultilevel"/>
    <w:tmpl w:val="762E2B8E"/>
    <w:lvl w:ilvl="0" w:tplc="0419000F">
      <w:start w:val="1"/>
      <w:numFmt w:val="decimal"/>
      <w:lvlText w:val="%1."/>
      <w:lvlJc w:val="left"/>
      <w:pPr>
        <w:tabs>
          <w:tab w:val="num" w:pos="752"/>
        </w:tabs>
        <w:ind w:left="75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E505429"/>
    <w:multiLevelType w:val="hybridMultilevel"/>
    <w:tmpl w:val="C1324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3CC"/>
    <w:rsid w:val="00245FE7"/>
    <w:rsid w:val="00555A9A"/>
    <w:rsid w:val="00A6192E"/>
    <w:rsid w:val="00CC7A36"/>
    <w:rsid w:val="00F3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6616</Characters>
  <Application>Microsoft Office Word</Application>
  <DocSecurity>0</DocSecurity>
  <Lines>55</Lines>
  <Paragraphs>15</Paragraphs>
  <ScaleCrop>false</ScaleCrop>
  <Company>Home</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Светлый Дол</dc:creator>
  <cp:lastModifiedBy>HP</cp:lastModifiedBy>
  <cp:revision>2</cp:revision>
  <dcterms:created xsi:type="dcterms:W3CDTF">2019-04-17T11:58:00Z</dcterms:created>
  <dcterms:modified xsi:type="dcterms:W3CDTF">2019-04-17T11:58:00Z</dcterms:modified>
</cp:coreProperties>
</file>